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C737" w14:textId="77777777" w:rsidR="007012A1" w:rsidRDefault="00000000">
      <w:pPr>
        <w:shd w:val="clear" w:color="auto" w:fill="FFFFFF"/>
        <w:spacing w:before="100" w:beforeAutospacing="1" w:after="100" w:afterAutospacing="1" w:line="293" w:lineRule="atLeast"/>
        <w:ind w:firstLine="300"/>
        <w:jc w:val="right"/>
        <w:rPr>
          <w:rFonts w:ascii="Arial" w:eastAsia="Times New Roman" w:hAnsi="Arial" w:cs="Arial"/>
          <w:sz w:val="20"/>
          <w:szCs w:val="20"/>
        </w:rPr>
      </w:pPr>
      <w:r>
        <w:rPr>
          <w:rFonts w:ascii="Arial" w:eastAsia="Times New Roman" w:hAnsi="Arial" w:cs="Arial"/>
          <w:sz w:val="20"/>
          <w:szCs w:val="20"/>
        </w:rPr>
        <w:t>Сейм принял и Президент государства</w:t>
      </w:r>
      <w:r>
        <w:rPr>
          <w:rFonts w:ascii="Arial" w:eastAsia="Times New Roman" w:hAnsi="Arial" w:cs="Arial"/>
          <w:sz w:val="20"/>
          <w:szCs w:val="20"/>
        </w:rPr>
        <w:br/>
        <w:t xml:space="preserve"> объявляет следующий закон:</w:t>
      </w:r>
    </w:p>
    <w:p w14:paraId="7DF379D2" w14:textId="4BCAFAA9" w:rsidR="007012A1" w:rsidRDefault="00000000">
      <w:pPr>
        <w:shd w:val="clear" w:color="auto" w:fill="FFFFFF"/>
        <w:spacing w:before="100" w:beforeAutospacing="1" w:after="100" w:afterAutospacing="1" w:line="240" w:lineRule="auto"/>
        <w:jc w:val="center"/>
        <w:outlineLvl w:val="2"/>
        <w:rPr>
          <w:rFonts w:ascii="Arial" w:eastAsia="Times New Roman" w:hAnsi="Arial" w:cs="Arial"/>
          <w:b/>
          <w:bCs/>
          <w:sz w:val="35"/>
          <w:szCs w:val="35"/>
        </w:rPr>
      </w:pPr>
      <w:r>
        <w:rPr>
          <w:rFonts w:ascii="Arial" w:eastAsia="Times New Roman" w:hAnsi="Arial" w:cs="Arial"/>
          <w:b/>
          <w:bCs/>
          <w:sz w:val="35"/>
          <w:szCs w:val="35"/>
        </w:rPr>
        <w:t xml:space="preserve">Изменения </w:t>
      </w:r>
      <w:r w:rsidR="00223C72">
        <w:rPr>
          <w:rFonts w:ascii="Arial" w:eastAsia="Times New Roman" w:hAnsi="Arial" w:cs="Arial"/>
          <w:b/>
          <w:bCs/>
          <w:sz w:val="35"/>
          <w:szCs w:val="35"/>
          <w:lang w:val="ru-RU"/>
        </w:rPr>
        <w:t>Таможенном з</w:t>
      </w:r>
      <w:r>
        <w:rPr>
          <w:rFonts w:ascii="Arial" w:eastAsia="Times New Roman" w:hAnsi="Arial" w:cs="Arial"/>
          <w:b/>
          <w:bCs/>
          <w:sz w:val="35"/>
          <w:szCs w:val="35"/>
        </w:rPr>
        <w:t>аконе</w:t>
      </w:r>
    </w:p>
    <w:p w14:paraId="00955C69"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Внести в таможенный закон (Латвияс Вестнесис, 2016, № 119, 241); 2018, № 123, 2019, 224 №; 2020, 123 №; 2021, 121. B, 193) следующие изменения:</w:t>
      </w:r>
    </w:p>
    <w:p w14:paraId="7D06EA01"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В статье 6:</w:t>
      </w:r>
    </w:p>
    <w:p w14:paraId="0D4C1B9C"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изложить пункт второй в следующей редакции:</w:t>
      </w:r>
    </w:p>
    <w:p w14:paraId="3BCBD643"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дополнительно заполняемые элементы данных в таможенной декларации ";</w:t>
      </w:r>
    </w:p>
    <w:p w14:paraId="15E790B9"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исключить пункты 4 и 19.</w:t>
      </w:r>
    </w:p>
    <w:p w14:paraId="6FA7CE83"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2. 6. </w:t>
      </w:r>
      <w:r>
        <w:rPr>
          <w:rFonts w:ascii="Arial" w:eastAsia="Times New Roman" w:hAnsi="Arial" w:cs="Arial"/>
          <w:sz w:val="20"/>
          <w:szCs w:val="20"/>
          <w:vertAlign w:val="superscript"/>
        </w:rPr>
        <w:t>В</w:t>
      </w:r>
      <w:r>
        <w:rPr>
          <w:rFonts w:ascii="Arial" w:eastAsia="Times New Roman" w:hAnsi="Arial" w:cs="Arial"/>
          <w:sz w:val="20"/>
          <w:szCs w:val="20"/>
        </w:rPr>
        <w:t xml:space="preserve"> статье 1:</w:t>
      </w:r>
    </w:p>
    <w:p w14:paraId="13AA7878"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изложить наименование статьи в следующей редакции:</w:t>
      </w:r>
    </w:p>
    <w:p w14:paraId="0DDC5742"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b/>
          <w:bCs/>
          <w:sz w:val="20"/>
          <w:szCs w:val="20"/>
        </w:rPr>
        <w:t xml:space="preserve">6. </w:t>
      </w:r>
      <w:r>
        <w:rPr>
          <w:rFonts w:ascii="Arial" w:eastAsia="Times New Roman" w:hAnsi="Arial" w:cs="Arial"/>
          <w:b/>
          <w:bCs/>
          <w:sz w:val="20"/>
          <w:szCs w:val="20"/>
          <w:vertAlign w:val="superscript"/>
        </w:rPr>
        <w:t>1</w:t>
      </w:r>
      <w:r>
        <w:rPr>
          <w:rFonts w:ascii="Arial" w:eastAsia="Times New Roman" w:hAnsi="Arial" w:cs="Arial"/>
          <w:b/>
          <w:bCs/>
          <w:sz w:val="20"/>
          <w:szCs w:val="20"/>
        </w:rPr>
        <w:t xml:space="preserve"> статья. Доказательства полномочия и представительства</w:t>
      </w:r>
      <w:r>
        <w:rPr>
          <w:rFonts w:ascii="Arial" w:eastAsia="Times New Roman" w:hAnsi="Arial" w:cs="Arial"/>
          <w:sz w:val="20"/>
          <w:szCs w:val="20"/>
        </w:rPr>
        <w:t>";</w:t>
      </w:r>
    </w:p>
    <w:p w14:paraId="590C3346"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дополнить статью частями третьей и четвертой в следующей редакции:</w:t>
      </w:r>
    </w:p>
    <w:p w14:paraId="4417FC64"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Руководитель того автотранспортного средства, которым перевозятся подлежащие таможенному оформлению товары, является представителем перевозчика в таможенном учреждении в отношении:</w:t>
      </w:r>
    </w:p>
    <w:p w14:paraId="673A5ABF"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о сообщении такого решения таможенного учреждения, которое таможенное учреждение приняло в связи с осуществляемым или осуществленным в связи с этим транспортным средством или находящимися в нем товарами таможенным контролем и адресат которого является перевозчиком;</w:t>
      </w:r>
    </w:p>
    <w:p w14:paraId="44B84A19"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о сообщении любой другой информации или документа в связи с осуществляемым или осуществленным в связи с этим транспортным средством или находящимися в нем товарами таможенным контролем и адресат которого является перевозчиком.</w:t>
      </w:r>
    </w:p>
    <w:p w14:paraId="6CFF6C75"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(4) Часть третья настоящей статьи не распространяется на случаи, когда перевозчик является пользователем системы электронного декларирования Службы государственных доходов. Если перевозчик не является пользователем системы электронного декларирования Службы государственных доходов, но до начала таможенного контроля для конкретного транспортного средства или находящихся в нем товаров в Государственную службу доходов в письменной форме указал другой вид сообщения информации и документов в связи с осуществляемым для этого транспортного средства или находящихся в нем товарами или осуществленным </w:t>
      </w:r>
      <w:r>
        <w:rPr>
          <w:rFonts w:ascii="Arial" w:eastAsia="Times New Roman" w:hAnsi="Arial" w:cs="Arial"/>
          <w:sz w:val="20"/>
          <w:szCs w:val="20"/>
        </w:rPr>
        <w:lastRenderedPageBreak/>
        <w:t>таможенным контролем, таможенное учреждение по возможности учитывает указанный адресатом вид сообщения информации и документов ".</w:t>
      </w:r>
    </w:p>
    <w:p w14:paraId="1DF0BA5E"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Изложить статью 8 в следующей редакции:</w:t>
      </w:r>
    </w:p>
    <w:p w14:paraId="372A7759"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b/>
          <w:bCs/>
          <w:sz w:val="20"/>
          <w:szCs w:val="20"/>
        </w:rPr>
        <w:t>Статья 8. Освобождение от сообщения о таможенной задолженности</w:t>
      </w:r>
    </w:p>
    <w:p w14:paraId="73316AF2"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Служба государственных доходов согласно пунктам 1 и 2 статьи 88 Регулы № 2015/2446 не сообщает возникший в процедуре транзита таможенный долг, если сумма долга по таможенным платежам за включенные в одну транзитную декларацию товары составляет менее 50 </w:t>
      </w:r>
      <w:r>
        <w:rPr>
          <w:rFonts w:ascii="Arial" w:eastAsia="Times New Roman" w:hAnsi="Arial" w:cs="Arial"/>
          <w:i/>
          <w:iCs/>
          <w:sz w:val="20"/>
          <w:szCs w:val="20"/>
        </w:rPr>
        <w:t>евро</w:t>
      </w:r>
      <w:r>
        <w:rPr>
          <w:rFonts w:ascii="Arial" w:eastAsia="Times New Roman" w:hAnsi="Arial" w:cs="Arial"/>
          <w:sz w:val="20"/>
          <w:szCs w:val="20"/>
        </w:rPr>
        <w:t xml:space="preserve"> ".</w:t>
      </w:r>
    </w:p>
    <w:p w14:paraId="49E0A90B"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4. Исключить 13. В части второй статьи </w:t>
      </w:r>
      <w:r>
        <w:rPr>
          <w:rFonts w:ascii="Arial" w:eastAsia="Times New Roman" w:hAnsi="Arial" w:cs="Arial"/>
          <w:sz w:val="20"/>
          <w:szCs w:val="20"/>
          <w:vertAlign w:val="superscript"/>
        </w:rPr>
        <w:t>1</w:t>
      </w:r>
      <w:r>
        <w:rPr>
          <w:rFonts w:ascii="Arial" w:eastAsia="Times New Roman" w:hAnsi="Arial" w:cs="Arial"/>
          <w:sz w:val="20"/>
          <w:szCs w:val="20"/>
        </w:rPr>
        <w:t xml:space="preserve"> слова “внесенная в качестве обеспечения для выполнения таможенной процедуры или в случае квоты критического тарифа”.</w:t>
      </w:r>
    </w:p>
    <w:p w14:paraId="4AC1F0D3"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5. Заменить 14. </w:t>
      </w:r>
      <w:r>
        <w:rPr>
          <w:rFonts w:ascii="Arial" w:eastAsia="Times New Roman" w:hAnsi="Arial" w:cs="Arial"/>
          <w:sz w:val="20"/>
          <w:szCs w:val="20"/>
          <w:vertAlign w:val="superscript"/>
        </w:rPr>
        <w:t>Заменить</w:t>
      </w:r>
      <w:r>
        <w:rPr>
          <w:rFonts w:ascii="Arial" w:eastAsia="Times New Roman" w:hAnsi="Arial" w:cs="Arial"/>
          <w:sz w:val="20"/>
          <w:szCs w:val="20"/>
        </w:rPr>
        <w:t xml:space="preserve"> в части шестой статьи слова “расходы, возникшие у Государственной службы доходов” словами “расходы, возникшие у Государственной службы доходов”.</w:t>
      </w:r>
    </w:p>
    <w:p w14:paraId="0D40A2BA"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6. Изложить 14. </w:t>
      </w:r>
      <w:r>
        <w:rPr>
          <w:rFonts w:ascii="Arial" w:eastAsia="Times New Roman" w:hAnsi="Arial" w:cs="Arial"/>
          <w:sz w:val="20"/>
          <w:szCs w:val="20"/>
          <w:vertAlign w:val="superscript"/>
        </w:rPr>
        <w:t>Изложить</w:t>
      </w:r>
      <w:r>
        <w:rPr>
          <w:rFonts w:ascii="Arial" w:eastAsia="Times New Roman" w:hAnsi="Arial" w:cs="Arial"/>
          <w:sz w:val="20"/>
          <w:szCs w:val="20"/>
        </w:rPr>
        <w:t xml:space="preserve"> пункт 4 статьи в следующей редакции:</w:t>
      </w:r>
    </w:p>
    <w:p w14:paraId="03AF6568"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порядок покрытия получателем решения в понимании части первой пункта 1 статьи 29 Регулы № 608/2013 расходов в связи с приостановленными или задержанными для выпуска товарами и размером этих расходов".</w:t>
      </w:r>
    </w:p>
    <w:p w14:paraId="7AD20438"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7. Дополнить Закон 23. </w:t>
      </w:r>
      <w:r>
        <w:rPr>
          <w:rFonts w:ascii="Arial" w:eastAsia="Times New Roman" w:hAnsi="Arial" w:cs="Arial"/>
          <w:sz w:val="20"/>
          <w:szCs w:val="20"/>
          <w:vertAlign w:val="superscript"/>
        </w:rPr>
        <w:t>4</w:t>
      </w:r>
      <w:r>
        <w:rPr>
          <w:rFonts w:ascii="Arial" w:eastAsia="Times New Roman" w:hAnsi="Arial" w:cs="Arial"/>
          <w:sz w:val="20"/>
          <w:szCs w:val="20"/>
        </w:rPr>
        <w:t xml:space="preserve"> и 23. </w:t>
      </w:r>
      <w:r>
        <w:rPr>
          <w:rFonts w:ascii="Arial" w:eastAsia="Times New Roman" w:hAnsi="Arial" w:cs="Arial"/>
          <w:sz w:val="20"/>
          <w:szCs w:val="20"/>
          <w:vertAlign w:val="superscript"/>
        </w:rPr>
        <w:t>Изложить</w:t>
      </w:r>
      <w:r>
        <w:rPr>
          <w:rFonts w:ascii="Arial" w:eastAsia="Times New Roman" w:hAnsi="Arial" w:cs="Arial"/>
          <w:sz w:val="20"/>
          <w:szCs w:val="20"/>
        </w:rPr>
        <w:t xml:space="preserve"> статью в следующей редакции:</w:t>
      </w:r>
    </w:p>
    <w:p w14:paraId="65F8D672"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b/>
          <w:bCs/>
          <w:sz w:val="20"/>
          <w:szCs w:val="20"/>
        </w:rPr>
        <w:t xml:space="preserve">23. Статья </w:t>
      </w:r>
      <w:r>
        <w:rPr>
          <w:rFonts w:ascii="Arial" w:eastAsia="Times New Roman" w:hAnsi="Arial" w:cs="Arial"/>
          <w:b/>
          <w:bCs/>
          <w:sz w:val="20"/>
          <w:szCs w:val="20"/>
          <w:vertAlign w:val="superscript"/>
        </w:rPr>
        <w:t>4</w:t>
      </w:r>
      <w:r>
        <w:rPr>
          <w:rFonts w:ascii="Arial" w:eastAsia="Times New Roman" w:hAnsi="Arial" w:cs="Arial"/>
          <w:b/>
          <w:bCs/>
          <w:sz w:val="20"/>
          <w:szCs w:val="20"/>
        </w:rPr>
        <w:t>. Действия с отходами, содержащими нефтепродукты или продукты спирта, и другими побочными продуктами, возникающими во время хранения и обычных обработки товаров вне союза</w:t>
      </w:r>
    </w:p>
    <w:p w14:paraId="1647C83B"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Держатель разрешения на место временного хранения, держатель разрешения таможенного склада, держатель разрешения на осуществление лицензированной коммерческой деятельности в режиме свободной зоны, собственник, владелец товаров или уполномоченное им лицо содержащие нефтепродукты или продукты спирта отходы и другие побочные продукты, возникающие во время действий по хранению товаров и обычной обработке товаров (в дальнейшем побочные продукты), могут вывозить для уничтожения, применять к побочным продуктам следующую таможенную процедуру или реэкспорт, а также использовать побочные продукты для повторного вывоза из упаковки или закрепления товаров, предназначенных для повторного вывоза из таможенной территории Союза. Упомянутое распространяется на такие побочные продукты, которые первоначально на таможенной территории Союза не ввезены в качестве отходов.</w:t>
      </w:r>
    </w:p>
    <w:p w14:paraId="5AD939BA"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до вывоза побочных продуктов из места временного хранения, для уничтожения таможенного склада или свободной зоны оно согласовывается с Государственной службой доходов, а также после уничтожения побочных продуктов информирует об этом Государственную службу доходов.</w:t>
      </w:r>
    </w:p>
    <w:p w14:paraId="5A887A8C"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lastRenderedPageBreak/>
        <w:t>(3) Повторное использование субпродуктов для упаковки, закрепления или аналогичных действий таких товаров в случае, когда эти товары предусмотрено вывезти с таможенной территории Союза, декларируется с использованием установленного статьей 141 Регулы № 2015/2446 акта, которое считается таможенной декларацией или декларацией о реэкспорте.</w:t>
      </w:r>
    </w:p>
    <w:p w14:paraId="40D22EDE"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Если во время процедуры транзита внесоюзного товара неизбежно утрачены вследствие непредвиденных обстоятельств или непреодолимой силы и на месте происшествия остались отходы, собранные отходы не позднее чем в течение 30 дней со дня происшествия (в результате которого товары неизбежно утрачены) передаются для уничтожения при заполнении регистрационной карти-накладной на перевозку отходов.</w:t>
      </w:r>
    </w:p>
    <w:p w14:paraId="5A5CC49A"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Кабинет министров устанавливает порядок согласования или отказа в согласовании вывоза субпродуктов для уничтожения, а также порядок информирования Государственной службы доходов об уничтожении побочных продуктов.</w:t>
      </w:r>
    </w:p>
    <w:p w14:paraId="33EF2C80"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b/>
          <w:bCs/>
          <w:sz w:val="20"/>
          <w:szCs w:val="20"/>
        </w:rPr>
      </w:pPr>
      <w:r>
        <w:rPr>
          <w:rFonts w:ascii="Arial" w:eastAsia="Times New Roman" w:hAnsi="Arial" w:cs="Arial"/>
          <w:b/>
          <w:bCs/>
          <w:sz w:val="20"/>
          <w:szCs w:val="20"/>
        </w:rPr>
        <w:t xml:space="preserve">23. Статья </w:t>
      </w:r>
      <w:r>
        <w:rPr>
          <w:rFonts w:ascii="Arial" w:eastAsia="Times New Roman" w:hAnsi="Arial" w:cs="Arial"/>
          <w:b/>
          <w:bCs/>
          <w:sz w:val="20"/>
          <w:szCs w:val="20"/>
          <w:vertAlign w:val="superscript"/>
        </w:rPr>
        <w:t>5</w:t>
      </w:r>
      <w:r>
        <w:rPr>
          <w:rFonts w:ascii="Arial" w:eastAsia="Times New Roman" w:hAnsi="Arial" w:cs="Arial"/>
          <w:b/>
          <w:bCs/>
          <w:sz w:val="20"/>
          <w:szCs w:val="20"/>
        </w:rPr>
        <w:t>. Различия массы, допускаемой в транспортной упаковке находящихся под таможенным надзором нефасованных товаров и нефасованных товаров</w:t>
      </w:r>
    </w:p>
    <w:p w14:paraId="798AFB32"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Разницей массы находящихся под таможенным надзором нефасованных товаров и нефасованных товаров (в дальнейшем в настоящей статье - товары) в понимании настоящего Закона являются различия (естественные потери товаров, недостача товаров или большая масса товаров) между указанной в декларации таможенной, реэкспортной или временного хранения массой товаров и фактической массой этих товаров, которые констатированы во время выполнения таможенной процедуры и реэкспорта, во время временного хранения или при завершении таможенной процедуры, реэкспорта или временного хранения.</w:t>
      </w:r>
    </w:p>
    <w:p w14:paraId="63D39F0E"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естественные потери товаров в понимании настоящего Закона являются необратимыми потерями, возникающими вследствие физико ¬ химических свойств товаров, в том числе во время хранения, перегрузки, перевозки и технологической транспортировки под воздействием метеорологических факторов.</w:t>
      </w:r>
    </w:p>
    <w:p w14:paraId="4889B985"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Товарная недостача в понимании настоящего Закона является необратимой утратой (не являющейся естественными потерями товаров), возникающей во время погрузки, хранения, перегрузки, перевозок и технологической транспортировки товаров (в том числе в документах на перевозку неточности).</w:t>
      </w:r>
    </w:p>
    <w:p w14:paraId="669F108F"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транспортная упаковка в понимании настоящего Закона является упаковкой, используемой для перевозки и хранения нефасованных товаров, а также избежания недостач товаров во время хранения, перегрузки или перевозки.</w:t>
      </w:r>
    </w:p>
    <w:p w14:paraId="7F4B37B4"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(5) Если естественные потери или недостача выпущенных при таможенной процедуре, выпущенных на реэкспорт или временного хранения товаров не превышают установленную правовыми актами в таможенной сфере разницу массы товаров, </w:t>
      </w:r>
      <w:r>
        <w:rPr>
          <w:rFonts w:ascii="Arial" w:eastAsia="Times New Roman" w:hAnsi="Arial" w:cs="Arial"/>
          <w:sz w:val="20"/>
          <w:szCs w:val="20"/>
        </w:rPr>
        <w:lastRenderedPageBreak/>
        <w:t>упомянутая разница не считается несоответствием выполнению таможенной процедуры, реэкспорта или временного хранения.</w:t>
      </w:r>
    </w:p>
    <w:p w14:paraId="03A4FAF7"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Если констатированная масса выпущенных при таможенной процедуре, реэкспортированных или переданных на временное хранение товаров превышает указанную в соответствующей декларации таможенной, реэкспортной или временного хранения, однако не превышает установленную правовыми актами в таможенной сфере разницу массы товаров, упомянутая разница не считается несоответствием выполнению таможенной процедуры, реэкспорта или временного хранения.</w:t>
      </w:r>
    </w:p>
    <w:p w14:paraId="6B3C91E5"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(7) в установленных частями пятой и шестой настоящей статьи случаях при применении следующей таможенной процедуры, реэкспорта или временного хранения товары декларируются в соответствии с фактической массой.</w:t>
      </w:r>
    </w:p>
    <w:p w14:paraId="0DB5F8ED"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(8) Кабинет министров устанавливает:</w:t>
      </w:r>
    </w:p>
    <w:p w14:paraId="191B63F5"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 товары, для которых допускаются различия массы товаров;</w:t>
      </w:r>
    </w:p>
    <w:p w14:paraId="4AD668E6"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2) различия в допустимой и предполагаемой массе товаров;</w:t>
      </w:r>
    </w:p>
    <w:p w14:paraId="1E83108E"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3) требования к товарно ¬ транспортной упаковке;</w:t>
      </w:r>
    </w:p>
    <w:p w14:paraId="251ED8A0"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4) порядок определения различий массы товаров;</w:t>
      </w:r>
    </w:p>
    <w:p w14:paraId="2B693F14"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5) о применении различных различий массы товаров;</w:t>
      </w:r>
    </w:p>
    <w:p w14:paraId="7FA5AAA5"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6) применяемые таможенные формальности, если масса товаров превышает массу декларированных товаров или если разница массы товаров превышает допустимую разницу массы товаров;</w:t>
      </w:r>
    </w:p>
    <w:p w14:paraId="1190679E"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7) обязанности признанного получателя при констатации различий во вторичной массе товаров, а также исключительных случаев, на которые упомянутая обязанность не распространяется;</w:t>
      </w:r>
    </w:p>
    <w:p w14:paraId="6BE3CC9F"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8) случаи, когда при констатации различий массы товаров не считается, что возникла таможенная задолженность.</w:t>
      </w:r>
    </w:p>
    <w:p w14:paraId="1D2DE0C2"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(9) Государственная служба доходов при получении заявления лица издает решение (общий административный акт), в котором определяет различия допустимой и предусматриваемой массы товаров для таких товаров, которые ранее не перемещались на территорию Латвийской Республики или перемещались нерегулярно и различия допускаемой и предусматриваемой массы которых не установлены согласно пунктам 1 и 2 части восьмой настоящей статьи.</w:t>
      </w:r>
    </w:p>
    <w:p w14:paraId="041422A9"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(10) Упомянутое в части девятой настоящей статьи решение вступает в силу на следующий день после его опубликования в официальном издании “Латвияс Вестнесис” и имеет силу до момента, когда установленные решением различия массы </w:t>
      </w:r>
      <w:r>
        <w:rPr>
          <w:rFonts w:ascii="Arial" w:eastAsia="Times New Roman" w:hAnsi="Arial" w:cs="Arial"/>
          <w:sz w:val="20"/>
          <w:szCs w:val="20"/>
        </w:rPr>
        <w:lastRenderedPageBreak/>
        <w:t>товаров устанавливаются согласно пунктам 1 и 2 части восьмой настоящей статьи, но не более 12 месяцев.</w:t>
      </w:r>
    </w:p>
    <w:p w14:paraId="13825901"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(11) На упомянутое в части девятой настоящей статьи решение распространяются нормы, упомянутые в частях пятой и шестой и пунктах 3, 4, 5, 6, 7 и 8 части восьмой настоящей статьи ".</w:t>
      </w:r>
    </w:p>
    <w:p w14:paraId="0A9D4A44"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8. Дополнить Закон 25. </w:t>
      </w:r>
      <w:r>
        <w:rPr>
          <w:rFonts w:ascii="Arial" w:eastAsia="Times New Roman" w:hAnsi="Arial" w:cs="Arial"/>
          <w:sz w:val="20"/>
          <w:szCs w:val="20"/>
          <w:vertAlign w:val="superscript"/>
        </w:rPr>
        <w:t>1</w:t>
      </w:r>
      <w:r>
        <w:rPr>
          <w:rFonts w:ascii="Arial" w:eastAsia="Times New Roman" w:hAnsi="Arial" w:cs="Arial"/>
          <w:sz w:val="20"/>
          <w:szCs w:val="20"/>
        </w:rPr>
        <w:t xml:space="preserve"> статью в следующей редакции:</w:t>
      </w:r>
    </w:p>
    <w:p w14:paraId="4F36D072"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b/>
          <w:bCs/>
          <w:sz w:val="20"/>
          <w:szCs w:val="20"/>
        </w:rPr>
        <w:t xml:space="preserve">25. </w:t>
      </w:r>
      <w:r>
        <w:rPr>
          <w:rFonts w:ascii="Arial" w:eastAsia="Times New Roman" w:hAnsi="Arial" w:cs="Arial"/>
          <w:b/>
          <w:bCs/>
          <w:sz w:val="20"/>
          <w:szCs w:val="20"/>
          <w:vertAlign w:val="superscript"/>
        </w:rPr>
        <w:t>1</w:t>
      </w:r>
      <w:r>
        <w:rPr>
          <w:rFonts w:ascii="Arial" w:eastAsia="Times New Roman" w:hAnsi="Arial" w:cs="Arial"/>
          <w:b/>
          <w:bCs/>
          <w:sz w:val="20"/>
          <w:szCs w:val="20"/>
        </w:rPr>
        <w:t xml:space="preserve"> статья. Удостоверяющие профессиональную квалификацию документы</w:t>
      </w:r>
    </w:p>
    <w:p w14:paraId="04E772AB"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Соответствие требованиям пункта “г” статьи 39 Регулы № 952/2013 и Регулы Комиссии от 24 ноября 2015 года № </w:t>
      </w:r>
      <w:hyperlink r:id="rId4" w:tgtFrame="_blank" w:history="1">
        <w:r>
          <w:rPr>
            <w:rFonts w:ascii="Arial" w:eastAsia="Times New Roman" w:hAnsi="Arial" w:cs="Arial"/>
            <w:sz w:val="20"/>
            <w:szCs w:val="20"/>
          </w:rPr>
          <w:t>2015/2447</w:t>
        </w:r>
      </w:hyperlink>
      <w:r>
        <w:rPr>
          <w:rFonts w:ascii="Arial" w:eastAsia="Times New Roman" w:hAnsi="Arial" w:cs="Arial"/>
          <w:sz w:val="20"/>
          <w:szCs w:val="20"/>
        </w:rPr>
        <w:t xml:space="preserve">, которой предусматриваются подробно разработанные правила, необходимые для реализации конкретных правил в Регуле Европейского Парламента и Совета (ЕС) № 952/2013, которой создается таможенный кодекс Европейского Союза (в дальнейшем - Регула № </w:t>
      </w:r>
      <w:hyperlink r:id="rId5" w:tgtFrame="_blank" w:history="1">
        <w:r>
          <w:rPr>
            <w:rFonts w:ascii="Arial" w:eastAsia="Times New Roman" w:hAnsi="Arial" w:cs="Arial"/>
            <w:sz w:val="20"/>
            <w:szCs w:val="20"/>
          </w:rPr>
          <w:t>2015/2447</w:t>
        </w:r>
      </w:hyperlink>
      <w:r>
        <w:rPr>
          <w:rFonts w:ascii="Arial" w:eastAsia="Times New Roman" w:hAnsi="Arial" w:cs="Arial"/>
          <w:sz w:val="20"/>
          <w:szCs w:val="20"/>
        </w:rPr>
        <w:t>), подтверждает диплом о профессиональном высшем образовании с полученной профессиональной квалификацией в таможенной сфере или свидетельство об освоении образования профессионального совершенствования в таможенной сфере ".</w:t>
      </w:r>
    </w:p>
    <w:p w14:paraId="3E26C803"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9. В части первой статьи 28:</w:t>
      </w:r>
    </w:p>
    <w:p w14:paraId="70D3F646"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заменить во вводной части слова и цифры "Регулой Комиссии от 24 ноября 2015 года (ЕС) № </w:t>
      </w:r>
      <w:hyperlink r:id="rId6" w:tgtFrame="_blank" w:history="1">
        <w:r>
          <w:rPr>
            <w:rFonts w:ascii="Arial" w:eastAsia="Times New Roman" w:hAnsi="Arial" w:cs="Arial"/>
            <w:sz w:val="20"/>
            <w:szCs w:val="20"/>
          </w:rPr>
          <w:t>2015/2447</w:t>
        </w:r>
      </w:hyperlink>
      <w:r>
        <w:rPr>
          <w:rFonts w:ascii="Arial" w:eastAsia="Times New Roman" w:hAnsi="Arial" w:cs="Arial"/>
          <w:sz w:val="20"/>
          <w:szCs w:val="20"/>
        </w:rPr>
        <w:t xml:space="preserve">, которой предусматриваются подробно разработанные правила, необходимые для реализации конкретных правил в Регуле Европейского Парламента и Совета (ЕС) № 952/2013, которой создается таможенный кодекс Союза" словами и цифрами “Регула № </w:t>
      </w:r>
      <w:hyperlink r:id="rId7" w:tgtFrame="_blank" w:history="1">
        <w:r>
          <w:rPr>
            <w:rFonts w:ascii="Arial" w:eastAsia="Times New Roman" w:hAnsi="Arial" w:cs="Arial"/>
            <w:sz w:val="20"/>
            <w:szCs w:val="20"/>
          </w:rPr>
          <w:t>2015/2447</w:t>
        </w:r>
      </w:hyperlink>
      <w:r>
        <w:rPr>
          <w:rFonts w:ascii="Arial" w:eastAsia="Times New Roman" w:hAnsi="Arial" w:cs="Arial"/>
          <w:sz w:val="20"/>
          <w:szCs w:val="20"/>
        </w:rPr>
        <w:t>”;</w:t>
      </w:r>
    </w:p>
    <w:p w14:paraId="0E9BDDCF"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заменить в пункте 3 слова и цифры “в установленном пунктом 27 статьи 1 Закона о проверке соответствия данных” словами и цифрами “в установленном пунктом 37 статьи 1 настоящего закона контроле налогов”.</w:t>
      </w:r>
    </w:p>
    <w:p w14:paraId="0C9903C7"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10. Дополнить Переходные положения пунктами 16, 17 и 18 в следующей редакции:</w:t>
      </w:r>
    </w:p>
    <w:p w14:paraId="653297E5"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"16. Изменение в пункте 4 статьи 6 настоящего Закона в отношении исключения этого пункта, изменения 14. </w:t>
      </w:r>
      <w:r>
        <w:rPr>
          <w:rFonts w:ascii="Arial" w:eastAsia="Times New Roman" w:hAnsi="Arial" w:cs="Arial"/>
          <w:sz w:val="20"/>
          <w:szCs w:val="20"/>
          <w:vertAlign w:val="superscript"/>
        </w:rPr>
        <w:t>В</w:t>
      </w:r>
      <w:r>
        <w:rPr>
          <w:rFonts w:ascii="Arial" w:eastAsia="Times New Roman" w:hAnsi="Arial" w:cs="Arial"/>
          <w:sz w:val="20"/>
          <w:szCs w:val="20"/>
        </w:rPr>
        <w:t xml:space="preserve"> пункте 4 статьи 5 в отношении изложения настоящего пункта в новой редакции, а также 23 настоящего Закона. </w:t>
      </w:r>
      <w:r>
        <w:rPr>
          <w:rFonts w:ascii="Arial" w:eastAsia="Times New Roman" w:hAnsi="Arial" w:cs="Arial"/>
          <w:sz w:val="20"/>
          <w:szCs w:val="20"/>
          <w:vertAlign w:val="superscript"/>
        </w:rPr>
        <w:t>4</w:t>
      </w:r>
      <w:r>
        <w:rPr>
          <w:rFonts w:ascii="Arial" w:eastAsia="Times New Roman" w:hAnsi="Arial" w:cs="Arial"/>
          <w:sz w:val="20"/>
          <w:szCs w:val="20"/>
        </w:rPr>
        <w:t xml:space="preserve"> и 23. Статья </w:t>
      </w:r>
      <w:r>
        <w:rPr>
          <w:rFonts w:ascii="Arial" w:eastAsia="Times New Roman" w:hAnsi="Arial" w:cs="Arial"/>
          <w:sz w:val="20"/>
          <w:szCs w:val="20"/>
          <w:vertAlign w:val="superscript"/>
        </w:rPr>
        <w:t>5</w:t>
      </w:r>
      <w:r>
        <w:rPr>
          <w:rFonts w:ascii="Arial" w:eastAsia="Times New Roman" w:hAnsi="Arial" w:cs="Arial"/>
          <w:sz w:val="20"/>
          <w:szCs w:val="20"/>
        </w:rPr>
        <w:t xml:space="preserve"> вступает в силу 1 октября 2023 года.</w:t>
      </w:r>
    </w:p>
    <w:p w14:paraId="60FA2BA5"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 xml:space="preserve">17. Статья 25 настоящего Закона </w:t>
      </w:r>
      <w:r>
        <w:rPr>
          <w:rFonts w:ascii="Arial" w:eastAsia="Times New Roman" w:hAnsi="Arial" w:cs="Arial"/>
          <w:sz w:val="20"/>
          <w:szCs w:val="20"/>
          <w:vertAlign w:val="superscript"/>
        </w:rPr>
        <w:t>1</w:t>
      </w:r>
      <w:r>
        <w:rPr>
          <w:rFonts w:ascii="Arial" w:eastAsia="Times New Roman" w:hAnsi="Arial" w:cs="Arial"/>
          <w:sz w:val="20"/>
          <w:szCs w:val="20"/>
        </w:rPr>
        <w:t xml:space="preserve"> статья вступает в силу 1 сентября 2024 года.</w:t>
      </w:r>
    </w:p>
    <w:p w14:paraId="786931A7"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18. Изменение в пункте 3 части первой статьи 28 настоящего закона о замене цифр и слов “в установленном пунктом 27 статьи 1 настоящего закона проверке соответствия данных” словами и цифрами “в установленном пунктом 37 статьи 1 настоящего закона контроле налогов” вступает в силу одновременно с соответствующими изменениями в законе “О налогах и пошлинах”.</w:t>
      </w:r>
    </w:p>
    <w:p w14:paraId="76A2D644"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Закон принят Сеймом 15 июня 2023 года.</w:t>
      </w:r>
    </w:p>
    <w:p w14:paraId="6002DF9E" w14:textId="77777777" w:rsidR="007012A1" w:rsidRDefault="00000000">
      <w:pPr>
        <w:shd w:val="clear" w:color="auto" w:fill="FFFFFF"/>
        <w:spacing w:before="100" w:beforeAutospacing="1" w:after="100" w:afterAutospacing="1" w:line="293" w:lineRule="atLeast"/>
        <w:ind w:firstLine="300"/>
        <w:jc w:val="right"/>
        <w:rPr>
          <w:rFonts w:ascii="Arial" w:eastAsia="Times New Roman" w:hAnsi="Arial" w:cs="Arial"/>
          <w:sz w:val="20"/>
          <w:szCs w:val="20"/>
        </w:rPr>
      </w:pPr>
      <w:r>
        <w:rPr>
          <w:rFonts w:ascii="Arial" w:eastAsia="Times New Roman" w:hAnsi="Arial" w:cs="Arial"/>
          <w:sz w:val="20"/>
          <w:szCs w:val="20"/>
        </w:rPr>
        <w:lastRenderedPageBreak/>
        <w:t>Президент государства</w:t>
      </w:r>
      <w:r>
        <w:rPr>
          <w:rFonts w:ascii="Arial" w:eastAsia="Times New Roman" w:hAnsi="Arial" w:cs="Arial"/>
          <w:i/>
          <w:iCs/>
          <w:sz w:val="20"/>
          <w:szCs w:val="20"/>
        </w:rPr>
        <w:t>. Левитс</w:t>
      </w:r>
    </w:p>
    <w:p w14:paraId="6949A669" w14:textId="77777777" w:rsidR="007012A1" w:rsidRDefault="00000000">
      <w:pPr>
        <w:shd w:val="clear" w:color="auto" w:fill="FFFFFF"/>
        <w:spacing w:before="100" w:beforeAutospacing="1" w:after="100" w:afterAutospacing="1" w:line="293" w:lineRule="atLeast"/>
        <w:ind w:firstLine="300"/>
        <w:rPr>
          <w:rFonts w:ascii="Arial" w:eastAsia="Times New Roman" w:hAnsi="Arial" w:cs="Arial"/>
          <w:sz w:val="20"/>
          <w:szCs w:val="20"/>
        </w:rPr>
      </w:pPr>
      <w:r>
        <w:rPr>
          <w:rFonts w:ascii="Arial" w:eastAsia="Times New Roman" w:hAnsi="Arial" w:cs="Arial"/>
          <w:sz w:val="20"/>
          <w:szCs w:val="20"/>
        </w:rPr>
        <w:t>Рига, 28 июня 2023 года</w:t>
      </w:r>
    </w:p>
    <w:p w14:paraId="32A82B20" w14:textId="77777777" w:rsidR="007012A1" w:rsidRDefault="007012A1"/>
    <w:sectPr w:rsidR="007012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BD"/>
    <w:rsid w:val="00223C72"/>
    <w:rsid w:val="003E56D2"/>
    <w:rsid w:val="007012A1"/>
    <w:rsid w:val="00847FCD"/>
    <w:rsid w:val="00D23ABD"/>
    <w:rsid w:val="00F43A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B92B"/>
  <w15:chartTrackingRefBased/>
  <w15:docId w15:val="{F69A2857-1330-4171-BC2D-3D5FD837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lex.europa.eu/eli/reg_impl/2015/2447/oj/?local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_impl/2015/2447/oj/?locale=LV" TargetMode="External"/><Relationship Id="rId5" Type="http://schemas.openxmlformats.org/officeDocument/2006/relationships/hyperlink" Target="http://eur-lex.europa.eu/eli/reg_impl/2015/2447/oj/?locale=LV" TargetMode="External"/><Relationship Id="rId4" Type="http://schemas.openxmlformats.org/officeDocument/2006/relationships/hyperlink" Target="http://eur-lex.europa.eu/eli/reg_impl/2015/2447/oj/?locale=LV"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7659</Words>
  <Characters>4366</Characters>
  <Application>Microsoft Office Word</Application>
  <DocSecurity>0</DocSecurity>
  <Lines>36</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2</cp:revision>
  <dcterms:created xsi:type="dcterms:W3CDTF">2023-07-03T07:05:00Z</dcterms:created>
  <dcterms:modified xsi:type="dcterms:W3CDTF">2023-07-03T07:05:00Z</dcterms:modified>
</cp:coreProperties>
</file>