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F895" w14:textId="77777777" w:rsidR="006B2A13" w:rsidRPr="006B2A13" w:rsidRDefault="006B2A13" w:rsidP="006B2A13">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6B2A13">
        <w:rPr>
          <w:rFonts w:ascii="Arial" w:eastAsia="Times New Roman" w:hAnsi="Arial" w:cs="Arial"/>
          <w:sz w:val="20"/>
          <w:szCs w:val="20"/>
          <w:lang w:eastAsia="lv-LV"/>
        </w:rPr>
        <w:t>Saeima ir pieņēmusi un Valsts</w:t>
      </w:r>
      <w:r w:rsidRPr="006B2A13">
        <w:rPr>
          <w:rFonts w:ascii="Arial" w:eastAsia="Times New Roman" w:hAnsi="Arial" w:cs="Arial"/>
          <w:sz w:val="20"/>
          <w:szCs w:val="20"/>
          <w:lang w:eastAsia="lv-LV"/>
        </w:rPr>
        <w:br/>
        <w:t>prezidents izsludina šādu likumu:</w:t>
      </w:r>
    </w:p>
    <w:p w14:paraId="08FC2022" w14:textId="77777777" w:rsidR="006B2A13" w:rsidRPr="006B2A13" w:rsidRDefault="006B2A13" w:rsidP="006B2A13">
      <w:pPr>
        <w:shd w:val="clear" w:color="auto" w:fill="FFFFFF"/>
        <w:spacing w:before="100" w:beforeAutospacing="1" w:after="100" w:afterAutospacing="1" w:line="240" w:lineRule="auto"/>
        <w:jc w:val="center"/>
        <w:outlineLvl w:val="2"/>
        <w:rPr>
          <w:rFonts w:ascii="Arial" w:eastAsia="Times New Roman" w:hAnsi="Arial" w:cs="Arial"/>
          <w:b/>
          <w:bCs/>
          <w:sz w:val="35"/>
          <w:szCs w:val="35"/>
          <w:lang w:eastAsia="lv-LV"/>
        </w:rPr>
      </w:pPr>
      <w:r w:rsidRPr="006B2A13">
        <w:rPr>
          <w:rFonts w:ascii="Arial" w:eastAsia="Times New Roman" w:hAnsi="Arial" w:cs="Arial"/>
          <w:b/>
          <w:bCs/>
          <w:sz w:val="35"/>
          <w:szCs w:val="35"/>
          <w:lang w:eastAsia="lv-LV"/>
        </w:rPr>
        <w:t>Grozījumi likumā "Par valsts pensijām"</w:t>
      </w:r>
    </w:p>
    <w:p w14:paraId="4B696E13"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Izdarīt likumā "Par valsts pensijām" (Latvijas Republikas Saeimas un Ministru Kabineta Ziņotājs, 1996, 1., 24. nr.; 1997, 3., 13. nr.; 1998, 1., 24. nr.; 1999, 11., 23. nr.; 2002, 2. nr.; 2004, 6. nr.; 2005, 13., 24. nr.; 2006, 24. nr.; 2007, 24. nr.; 2008, 7., 10., 14. nr.; 2009, 8., 15. nr.; Latvijas Vēstnesis, 2009, 199. nr.; 2010, 16., 205. nr.; 2011, 202. nr.; 2012, 104. nr.; 2013, 112., 137., 194. nr.; 2014, 75. nr.; 2015, 122. nr.; 2016, 57., 241. nr.; 2017, 128. nr.; 2018, 87., 196. nr.; 2019, 240. nr.; 2020, 240.A, 250. nr.; 2022, 137.A nr.; 2023, 57.A, 75. nr.) šādus grozījumus:</w:t>
      </w:r>
    </w:p>
    <w:p w14:paraId="26B0B1CF"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1. 3. pantā:</w:t>
      </w:r>
    </w:p>
    <w:p w14:paraId="63A2230C"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papildināt pirmo daļu ar teikumu šādā redakcijā:</w:t>
      </w:r>
    </w:p>
    <w:p w14:paraId="5E275CD2"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"Eiropas Savienības dalībvalstīs, Eiropas Ekonomikas zonas valstīs un valstīs, ar kurām ir spēkā līgums par sadarbību sociālās drošības jomā, dzīvojošām personām tiesības uz pensiju nosaka, ievērojot Eiropas Parlamenta un Padomes 2004. gada 29. aprīļa regulu (EK) Nr. </w:t>
      </w:r>
      <w:hyperlink r:id="rId4" w:tgtFrame="_blank" w:history="1">
        <w:r w:rsidRPr="006B2A13">
          <w:rPr>
            <w:rFonts w:ascii="Arial" w:eastAsia="Times New Roman" w:hAnsi="Arial" w:cs="Arial"/>
            <w:sz w:val="20"/>
            <w:szCs w:val="20"/>
            <w:lang w:eastAsia="lv-LV"/>
          </w:rPr>
          <w:t>883/2004</w:t>
        </w:r>
      </w:hyperlink>
      <w:r w:rsidRPr="006B2A13">
        <w:rPr>
          <w:rFonts w:ascii="Arial" w:eastAsia="Times New Roman" w:hAnsi="Arial" w:cs="Arial"/>
          <w:sz w:val="20"/>
          <w:szCs w:val="20"/>
          <w:lang w:eastAsia="lv-LV"/>
        </w:rPr>
        <w:t> par sociālās nodrošināšanas sistēmu koordinēšanu (turpmāk - regula Nr. </w:t>
      </w:r>
      <w:hyperlink r:id="rId5" w:tgtFrame="_blank" w:history="1">
        <w:r w:rsidRPr="006B2A13">
          <w:rPr>
            <w:rFonts w:ascii="Arial" w:eastAsia="Times New Roman" w:hAnsi="Arial" w:cs="Arial"/>
            <w:sz w:val="20"/>
            <w:szCs w:val="20"/>
            <w:lang w:eastAsia="lv-LV"/>
          </w:rPr>
          <w:t>883/2004</w:t>
        </w:r>
      </w:hyperlink>
      <w:r w:rsidRPr="006B2A13">
        <w:rPr>
          <w:rFonts w:ascii="Arial" w:eastAsia="Times New Roman" w:hAnsi="Arial" w:cs="Arial"/>
          <w:sz w:val="20"/>
          <w:szCs w:val="20"/>
          <w:lang w:eastAsia="lv-LV"/>
        </w:rPr>
        <w:t>) vai Saeimas apstiprinātos starptautiskos līgumus.";</w:t>
      </w:r>
    </w:p>
    <w:p w14:paraId="2720DFD9"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papildināt pantu ar ceturto daļu šādā redakcijā:</w:t>
      </w:r>
    </w:p>
    <w:p w14:paraId="33384F77"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"(4) Personai, kura pastāvīgi dzīvo ārpus Latvijas teritorijas un kurai nav tiesību uz pensiju atbilstoši šā panta pirmajā daļā noteiktajam, saskaņā ar šā likuma nosacījumiem ir tiesības uz vecuma un apgādnieka zaudējuma pensiju, ja saskaņā ar šo likumu ir uzkrāts pensijas piešķiršanai nepieciešamais apdrošināšanas stāžs."</w:t>
      </w:r>
    </w:p>
    <w:p w14:paraId="124D5496"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2. Papildināt 11. panta sesto daļu pēc vārda "Personām" ar vārdiem un skaitli "izņemot šā likuma 3. panta ceturtajā daļā minētās personas".</w:t>
      </w:r>
    </w:p>
    <w:p w14:paraId="3BB2B57D"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3. Papildināt 12. pantu ar 2.</w:t>
      </w:r>
      <w:r w:rsidRPr="006B2A13">
        <w:rPr>
          <w:rFonts w:ascii="Arial" w:eastAsia="Times New Roman" w:hAnsi="Arial" w:cs="Arial"/>
          <w:sz w:val="20"/>
          <w:szCs w:val="20"/>
          <w:vertAlign w:val="superscript"/>
          <w:lang w:eastAsia="lv-LV"/>
        </w:rPr>
        <w:t>3</w:t>
      </w:r>
      <w:r w:rsidRPr="006B2A13">
        <w:rPr>
          <w:rFonts w:ascii="Arial" w:eastAsia="Times New Roman" w:hAnsi="Arial" w:cs="Arial"/>
          <w:sz w:val="20"/>
          <w:szCs w:val="20"/>
          <w:lang w:eastAsia="lv-LV"/>
        </w:rPr>
        <w:t> daļu šādā redakcijā:</w:t>
      </w:r>
    </w:p>
    <w:p w14:paraId="51E962B0"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"(2</w:t>
      </w:r>
      <w:r w:rsidRPr="006B2A13">
        <w:rPr>
          <w:rFonts w:ascii="Arial" w:eastAsia="Times New Roman" w:hAnsi="Arial" w:cs="Arial"/>
          <w:sz w:val="20"/>
          <w:szCs w:val="20"/>
          <w:vertAlign w:val="superscript"/>
          <w:lang w:eastAsia="lv-LV"/>
        </w:rPr>
        <w:t>3</w:t>
      </w:r>
      <w:r w:rsidRPr="006B2A13">
        <w:rPr>
          <w:rFonts w:ascii="Arial" w:eastAsia="Times New Roman" w:hAnsi="Arial" w:cs="Arial"/>
          <w:sz w:val="20"/>
          <w:szCs w:val="20"/>
          <w:lang w:eastAsia="lv-LV"/>
        </w:rPr>
        <w:t>) Piešķirot personai vecuma pensiju šā likuma 3. panta ceturtajā daļā minētajā gadījumā, nepiemēro šā panta otrajā daļā noteiktos minimālos apmērus."</w:t>
      </w:r>
    </w:p>
    <w:p w14:paraId="017BD175"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4. Papildināt 23. panta devītās daļas ievaddaļu pēc vārdiem "katram bērnam" ar vārdiem un skaitli "izņemot gadījumu, kad apgādnieka zaudējuma pensija ir piešķirta saskaņā ar šā likuma 3. panta ceturto daļu".</w:t>
      </w:r>
    </w:p>
    <w:p w14:paraId="061F2EFA"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5. Aizstāt 26.</w:t>
      </w:r>
      <w:r w:rsidRPr="006B2A13">
        <w:rPr>
          <w:rFonts w:ascii="Arial" w:eastAsia="Times New Roman" w:hAnsi="Arial" w:cs="Arial"/>
          <w:sz w:val="20"/>
          <w:szCs w:val="20"/>
          <w:vertAlign w:val="superscript"/>
          <w:lang w:eastAsia="lv-LV"/>
        </w:rPr>
        <w:t>1</w:t>
      </w:r>
      <w:r w:rsidRPr="006B2A13">
        <w:rPr>
          <w:rFonts w:ascii="Arial" w:eastAsia="Times New Roman" w:hAnsi="Arial" w:cs="Arial"/>
          <w:sz w:val="20"/>
          <w:szCs w:val="20"/>
          <w:lang w:eastAsia="lv-LV"/>
        </w:rPr>
        <w:t> panta otrajā daļā vārdus un skaitļus "Eiropas Parlamenta un Padomes 2004. gada 29. aprīļa regulu (EK) Nr. </w:t>
      </w:r>
      <w:hyperlink r:id="rId6" w:tgtFrame="_blank" w:history="1">
        <w:r w:rsidRPr="006B2A13">
          <w:rPr>
            <w:rFonts w:ascii="Arial" w:eastAsia="Times New Roman" w:hAnsi="Arial" w:cs="Arial"/>
            <w:sz w:val="20"/>
            <w:szCs w:val="20"/>
            <w:lang w:eastAsia="lv-LV"/>
          </w:rPr>
          <w:t>883/2004</w:t>
        </w:r>
      </w:hyperlink>
      <w:r w:rsidRPr="006B2A13">
        <w:rPr>
          <w:rFonts w:ascii="Arial" w:eastAsia="Times New Roman" w:hAnsi="Arial" w:cs="Arial"/>
          <w:sz w:val="20"/>
          <w:szCs w:val="20"/>
          <w:lang w:eastAsia="lv-LV"/>
        </w:rPr>
        <w:t> par sociālā nodrošinājuma sistēmu koordinēšanu (turpmāk - regula Nr. </w:t>
      </w:r>
      <w:hyperlink r:id="rId7" w:tgtFrame="_blank" w:history="1">
        <w:r w:rsidRPr="006B2A13">
          <w:rPr>
            <w:rFonts w:ascii="Arial" w:eastAsia="Times New Roman" w:hAnsi="Arial" w:cs="Arial"/>
            <w:sz w:val="20"/>
            <w:szCs w:val="20"/>
            <w:lang w:eastAsia="lv-LV"/>
          </w:rPr>
          <w:t>883/2004</w:t>
        </w:r>
      </w:hyperlink>
      <w:r w:rsidRPr="006B2A13">
        <w:rPr>
          <w:rFonts w:ascii="Arial" w:eastAsia="Times New Roman" w:hAnsi="Arial" w:cs="Arial"/>
          <w:sz w:val="20"/>
          <w:szCs w:val="20"/>
          <w:lang w:eastAsia="lv-LV"/>
        </w:rPr>
        <w:t>)" ar vārdiem un skaitļiem "regulu Nr. </w:t>
      </w:r>
      <w:hyperlink r:id="rId8" w:tgtFrame="_blank" w:history="1">
        <w:r w:rsidRPr="006B2A13">
          <w:rPr>
            <w:rFonts w:ascii="Arial" w:eastAsia="Times New Roman" w:hAnsi="Arial" w:cs="Arial"/>
            <w:sz w:val="20"/>
            <w:szCs w:val="20"/>
            <w:lang w:eastAsia="lv-LV"/>
          </w:rPr>
          <w:t>883/2004</w:t>
        </w:r>
      </w:hyperlink>
      <w:r w:rsidRPr="006B2A13">
        <w:rPr>
          <w:rFonts w:ascii="Arial" w:eastAsia="Times New Roman" w:hAnsi="Arial" w:cs="Arial"/>
          <w:sz w:val="20"/>
          <w:szCs w:val="20"/>
          <w:lang w:eastAsia="lv-LV"/>
        </w:rPr>
        <w:t>".</w:t>
      </w:r>
    </w:p>
    <w:p w14:paraId="7559EC82"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lastRenderedPageBreak/>
        <w:t>6. Papildināt 32. panta divpadsmitās daļas otro teikumu pēc vārdiem "sabiedriskajos darbos)" ar vārdiem un skaitļiem "vai izbrauc uz pastāvīgu dzīvi ārvalstīs, ja regulā Nr. </w:t>
      </w:r>
      <w:hyperlink r:id="rId9" w:tgtFrame="_blank" w:history="1">
        <w:r w:rsidRPr="006B2A13">
          <w:rPr>
            <w:rFonts w:ascii="Arial" w:eastAsia="Times New Roman" w:hAnsi="Arial" w:cs="Arial"/>
            <w:sz w:val="20"/>
            <w:szCs w:val="20"/>
            <w:lang w:eastAsia="lv-LV"/>
          </w:rPr>
          <w:t>883/2004</w:t>
        </w:r>
      </w:hyperlink>
      <w:r w:rsidRPr="006B2A13">
        <w:rPr>
          <w:rFonts w:ascii="Arial" w:eastAsia="Times New Roman" w:hAnsi="Arial" w:cs="Arial"/>
          <w:sz w:val="20"/>
          <w:szCs w:val="20"/>
          <w:lang w:eastAsia="lv-LV"/>
        </w:rPr>
        <w:t> vai Saeimas apstiprinātos starptautiskajos līgumos nav noteikts citādi".</w:t>
      </w:r>
    </w:p>
    <w:p w14:paraId="15D32BB3"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7. 38. pantā:</w:t>
      </w:r>
    </w:p>
    <w:p w14:paraId="61403EFA"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izteikt panta nosaukumu šādā redakcijā:</w:t>
      </w:r>
    </w:p>
    <w:p w14:paraId="78BCEB90"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w:t>
      </w:r>
      <w:r w:rsidRPr="006B2A13">
        <w:rPr>
          <w:rFonts w:ascii="Arial" w:eastAsia="Times New Roman" w:hAnsi="Arial" w:cs="Arial"/>
          <w:b/>
          <w:bCs/>
          <w:sz w:val="20"/>
          <w:szCs w:val="20"/>
          <w:lang w:eastAsia="lv-LV"/>
        </w:rPr>
        <w:t>38. pants. Pensijas pārrēķins un izmaksa personām, kuras izbrauc uz ārvalstīm vai atgriežas no tām</w:t>
      </w:r>
      <w:r w:rsidRPr="006B2A13">
        <w:rPr>
          <w:rFonts w:ascii="Arial" w:eastAsia="Times New Roman" w:hAnsi="Arial" w:cs="Arial"/>
          <w:sz w:val="20"/>
          <w:szCs w:val="20"/>
          <w:lang w:eastAsia="lv-LV"/>
        </w:rPr>
        <w:t>";</w:t>
      </w:r>
    </w:p>
    <w:p w14:paraId="02A5DEFD"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uzskatīt līdzšinējo panta tekstu par pirmo daļu;</w:t>
      </w:r>
    </w:p>
    <w:p w14:paraId="30684423"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papildināt pantu ar otro, trešo un ceturto daļu šādā redakcijā:</w:t>
      </w:r>
    </w:p>
    <w:p w14:paraId="2B0ABD59"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"(2) Personām, kuras izbrauc uz pastāvīgu dzīvi ārvalstī, kas nav Eiropas Savienības dalībvalsts, Eiropas Ekonomikas zonas valsts vai valsts, ar kuru ir spēkā līgums par sadarbību sociālās drošības jomā, vecuma un apgādnieka zaudējuma pensiju pārrēķina, turpmāk izmaksājot aprēķināto (pārrēķināto) pensijas apmēru bez valsts pamatbudžeta daļas, ja tāda iepriekš bija piešķirta.</w:t>
      </w:r>
    </w:p>
    <w:p w14:paraId="560EC683"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(3) Personām, kamēr tās pastāvīgi dzīvo ārvalstī, kas nav Eiropas Savienības dalībvalsts, Eiropas Ekonomikas zonas valsts vai valsts, ar kuru ir spēkā līgums par sadarbību sociālās drošības jomā, pensiju izmaksā, nepiemērojot šā likuma 12. panta otrajā daļā, 16. panta pirmās daļas 2. punktā, otrajā un trešajā daļā un 23. panta devītajā daļā noteikto.</w:t>
      </w:r>
    </w:p>
    <w:p w14:paraId="0FE27EDD"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(4) Personām, kuras atgriežas uz pastāvīgu dzīvi Latvijā vai citā Eiropas Savienības dalībvalstī vai Eiropas Ekonomikas zonas valstī, vai valstī, ar kuru ir spēkā līgums par sadarbību sociālās drošības jomā, pensijas apmērs nedrīkst būt mazāks par minimālo pensijas apmēru, kāds noteikts iesnieguma par dzīvesvietas maiņu iesniegšanas dienā šā likuma 12. panta otrajā daļā, 16. panta pirmās daļas 2. punktā, otrajā un trešajā daļā un 23. panta devītajā daļā, ja regulā Nr. </w:t>
      </w:r>
      <w:hyperlink r:id="rId10" w:tgtFrame="_blank" w:history="1">
        <w:r w:rsidRPr="006B2A13">
          <w:rPr>
            <w:rFonts w:ascii="Arial" w:eastAsia="Times New Roman" w:hAnsi="Arial" w:cs="Arial"/>
            <w:sz w:val="20"/>
            <w:szCs w:val="20"/>
            <w:lang w:eastAsia="lv-LV"/>
          </w:rPr>
          <w:t>883/2004</w:t>
        </w:r>
      </w:hyperlink>
      <w:r w:rsidRPr="006B2A13">
        <w:rPr>
          <w:rFonts w:ascii="Arial" w:eastAsia="Times New Roman" w:hAnsi="Arial" w:cs="Arial"/>
          <w:sz w:val="20"/>
          <w:szCs w:val="20"/>
          <w:lang w:eastAsia="lv-LV"/>
        </w:rPr>
        <w:t> vai Saeimas apstiprinātos starptautiskajos līgumos nav noteikts citādi. Nosakot minimālo vecuma pensijas apmēru, ņem vērā apdrošināšanas stāžu, kas uzkrāts saskaņā ar šo likumu."</w:t>
      </w:r>
    </w:p>
    <w:p w14:paraId="7F298DA4"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8. Papildināt pārejas noteikumus ar 81., 82. un 83. punktu šādā redakcijā:</w:t>
      </w:r>
    </w:p>
    <w:p w14:paraId="782BD6F8"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"81. Pensijas pieprasījumus, kas iesniegti, pamatojoties uz šā likuma 3. panta ceturto daļu, izskata, sākot no 2023. gada 1. novembra. Personām, kuras līdz šā likuma 3. panta ceturtās daļas spēkā stāšanās dienai ir izbraukušas uz dzīvi ārvalstī, kas nav Eiropas Savienības dalībvalsts, Eiropas Ekonomikas zonas valsts vai valsts, ar kuru ir spēkā līgums par sadarbību sociālās drošības jomā, un ir uzsākušas savu aizskarto tiesību aizsardzību ar vispārējiem tiesību aizsardzības līdzekļiem tā iemesla dēļ, ka tām atteiks piešķirt vecuma vai apgādnieka zaudējuma pensiju, jo tās nedzīvo Latvijas teritorijā, piešķir un izmaksā vecuma vai apgādnieka zaudējuma pensiju no pensijas pieprasījuma un tās piešķiršanai nepieciešamo dokumentu iesniegšanas dienas.</w:t>
      </w:r>
    </w:p>
    <w:p w14:paraId="44E2D4D1"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lastRenderedPageBreak/>
        <w:t>82. Grozījums šā likuma 11. panta sestajā daļā, 23. panta devītajā daļā, 32. panta 12. daļā par pensijas izmaksu personai, kura pastāvīgi dzīvo ārpus Latvijas, kā arī grozījums par 38. panta nosaukuma izteikšanu jaunā redakcijā, likuma 12. panta 2.</w:t>
      </w:r>
      <w:r w:rsidRPr="006B2A13">
        <w:rPr>
          <w:rFonts w:ascii="Arial" w:eastAsia="Times New Roman" w:hAnsi="Arial" w:cs="Arial"/>
          <w:sz w:val="20"/>
          <w:szCs w:val="20"/>
          <w:vertAlign w:val="superscript"/>
          <w:lang w:eastAsia="lv-LV"/>
        </w:rPr>
        <w:t>3</w:t>
      </w:r>
      <w:r w:rsidRPr="006B2A13">
        <w:rPr>
          <w:rFonts w:ascii="Arial" w:eastAsia="Times New Roman" w:hAnsi="Arial" w:cs="Arial"/>
          <w:sz w:val="20"/>
          <w:szCs w:val="20"/>
          <w:lang w:eastAsia="lv-LV"/>
        </w:rPr>
        <w:t> daļa, 38. panta otrā, trešā, ceturtā daļa un pārejas noteikumu 83. punkts stājas spēkā 2023. gada 1. novembrī.</w:t>
      </w:r>
    </w:p>
    <w:p w14:paraId="4D0B1EFB"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83. Personām, kuras līdz 2023. gada 31. oktobrim izbraukušas uz dzīvi ārvalstī, kas nav Eiropas Savienības dalībvalsts, Eiropas Ekonomikas zonas valsts vai valsts, ar kuru ir spēkā līgums par sadarbību sociālās drošības jomā, saglabā piešķirtās (pārrēķinātās) pensijas apmēru, ieskaitot tajā 2023. gada 31. oktobrī noteikto valsts pamatbudžeta daļu, ja tāda iepriekš bija piešķirta, un turpmāk nepiemēro šā likuma 12. panta otrajā daļā, 16. panta pirmās daļas 2. punktā, otrajā un trešajā daļā un 23. panta devītajā daļā noteikto."</w:t>
      </w:r>
    </w:p>
    <w:p w14:paraId="3EB060D8"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Likums stājas spēkā nākamajā dienā pēc tā izsludināšanas.</w:t>
      </w:r>
    </w:p>
    <w:p w14:paraId="0F801A42"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Likums Saeimā pieņemts 2023. gada 15. jūnijā.</w:t>
      </w:r>
    </w:p>
    <w:p w14:paraId="407C1D02" w14:textId="77777777" w:rsidR="006B2A13" w:rsidRPr="006B2A13" w:rsidRDefault="006B2A13" w:rsidP="006B2A13">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6B2A13">
        <w:rPr>
          <w:rFonts w:ascii="Arial" w:eastAsia="Times New Roman" w:hAnsi="Arial" w:cs="Arial"/>
          <w:sz w:val="20"/>
          <w:szCs w:val="20"/>
          <w:lang w:eastAsia="lv-LV"/>
        </w:rPr>
        <w:t>Valsts prezidents </w:t>
      </w:r>
      <w:r w:rsidRPr="006B2A13">
        <w:rPr>
          <w:rFonts w:ascii="Arial" w:eastAsia="Times New Roman" w:hAnsi="Arial" w:cs="Arial"/>
          <w:i/>
          <w:iCs/>
          <w:sz w:val="20"/>
          <w:szCs w:val="20"/>
          <w:lang w:eastAsia="lv-LV"/>
        </w:rPr>
        <w:t>E. Levits</w:t>
      </w:r>
    </w:p>
    <w:p w14:paraId="7471B70E" w14:textId="77777777" w:rsidR="006B2A13" w:rsidRPr="006B2A13" w:rsidRDefault="006B2A13" w:rsidP="006B2A13">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B2A13">
        <w:rPr>
          <w:rFonts w:ascii="Arial" w:eastAsia="Times New Roman" w:hAnsi="Arial" w:cs="Arial"/>
          <w:sz w:val="20"/>
          <w:szCs w:val="20"/>
          <w:lang w:eastAsia="lv-LV"/>
        </w:rPr>
        <w:t>Rīgā 2023. gada 16. jūnijā</w:t>
      </w:r>
    </w:p>
    <w:p w14:paraId="4BA84990" w14:textId="77777777" w:rsidR="00DC0DB9" w:rsidRPr="006B2A13" w:rsidRDefault="00000000"/>
    <w:sectPr w:rsidR="00DC0DB9" w:rsidRPr="006B2A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13"/>
    <w:rsid w:val="003E56D2"/>
    <w:rsid w:val="006B2A13"/>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0FF0"/>
  <w15:chartTrackingRefBased/>
  <w15:docId w15:val="{981FA3CD-0C3F-49D1-B662-E61B084E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B2A1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2A13"/>
    <w:rPr>
      <w:rFonts w:ascii="Times New Roman" w:eastAsia="Times New Roman" w:hAnsi="Times New Roman" w:cs="Times New Roman"/>
      <w:b/>
      <w:bCs/>
      <w:sz w:val="27"/>
      <w:szCs w:val="27"/>
      <w:lang w:eastAsia="lv-LV"/>
    </w:rPr>
  </w:style>
  <w:style w:type="paragraph" w:customStyle="1" w:styleId="likc">
    <w:name w:val="lik_c"/>
    <w:basedOn w:val="Normal"/>
    <w:rsid w:val="006B2A1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B2A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B2A13"/>
    <w:rPr>
      <w:color w:val="0000FF"/>
      <w:u w:val="single"/>
    </w:rPr>
  </w:style>
  <w:style w:type="paragraph" w:customStyle="1" w:styleId="likparaksts">
    <w:name w:val="lik_paraksts"/>
    <w:basedOn w:val="Normal"/>
    <w:rsid w:val="006B2A1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4/883/oj/?locale=LV" TargetMode="External"/><Relationship Id="rId3" Type="http://schemas.openxmlformats.org/officeDocument/2006/relationships/webSettings" Target="webSettings.xml"/><Relationship Id="rId7" Type="http://schemas.openxmlformats.org/officeDocument/2006/relationships/hyperlink" Target="http://eur-lex.europa.eu/eli/reg/2004/883/oj/?locale=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2004/883/oj/?locale=LV" TargetMode="External"/><Relationship Id="rId11" Type="http://schemas.openxmlformats.org/officeDocument/2006/relationships/fontTable" Target="fontTable.xml"/><Relationship Id="rId5" Type="http://schemas.openxmlformats.org/officeDocument/2006/relationships/hyperlink" Target="http://eur-lex.europa.eu/eli/reg/2004/883/oj/?locale=LV" TargetMode="External"/><Relationship Id="rId10" Type="http://schemas.openxmlformats.org/officeDocument/2006/relationships/hyperlink" Target="http://eur-lex.europa.eu/eli/reg/2004/883/oj/?locale=LV" TargetMode="External"/><Relationship Id="rId4" Type="http://schemas.openxmlformats.org/officeDocument/2006/relationships/hyperlink" Target="http://eur-lex.europa.eu/eli/reg/2004/883/oj/?locale=LV" TargetMode="External"/><Relationship Id="rId9" Type="http://schemas.openxmlformats.org/officeDocument/2006/relationships/hyperlink" Target="http://eur-lex.europa.eu/eli/reg/2004/883/oj/?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4291</Words>
  <Characters>2447</Characters>
  <Application>Microsoft Office Word</Application>
  <DocSecurity>0</DocSecurity>
  <Lines>20</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2023-06-30T11:12:00Z</dcterms:created>
  <dcterms:modified xsi:type="dcterms:W3CDTF">2023-06-30T11:13:00Z</dcterms:modified>
</cp:coreProperties>
</file>