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F895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Сейм принял и Президент государства</w:t>
      </w:r>
      <w:r>
        <w:rPr>
          <w:rFonts w:ascii="Arial" w:eastAsia="Times New Roman" w:hAnsi="Arial" w:cs="Arial"/>
          <w:sz w:val="20"/>
          <w:szCs w:val="20"/>
        </w:rPr>
        <w:br/>
        <w:t xml:space="preserve"> объявляет следующий закон:</w:t>
      </w:r>
    </w:p>
    <w:p w14:paraId="08FC2022" w14:textId="77777777" w:rsidR="00437472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5"/>
          <w:szCs w:val="35"/>
        </w:rPr>
      </w:pPr>
      <w:r>
        <w:rPr>
          <w:rFonts w:ascii="Arial" w:eastAsia="Times New Roman" w:hAnsi="Arial" w:cs="Arial"/>
          <w:b/>
          <w:bCs/>
          <w:sz w:val="35"/>
          <w:szCs w:val="35"/>
        </w:rPr>
        <w:t>Изменения в законе "О государственных пенсиях"</w:t>
      </w:r>
    </w:p>
    <w:p w14:paraId="4B696E13" w14:textId="7BAB4C2A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Внести в Закон "</w:t>
      </w:r>
      <w:r w:rsidR="00EB02AF">
        <w:rPr>
          <w:rFonts w:ascii="Arial" w:eastAsia="Times New Roman" w:hAnsi="Arial" w:cs="Arial"/>
          <w:sz w:val="20"/>
          <w:szCs w:val="20"/>
          <w:lang w:val="ru-RU"/>
        </w:rPr>
        <w:t>О</w:t>
      </w:r>
      <w:r>
        <w:rPr>
          <w:rFonts w:ascii="Arial" w:eastAsia="Times New Roman" w:hAnsi="Arial" w:cs="Arial"/>
          <w:sz w:val="20"/>
          <w:szCs w:val="20"/>
        </w:rPr>
        <w:t xml:space="preserve"> государственных пенсиях следующие изменения:</w:t>
      </w:r>
    </w:p>
    <w:p w14:paraId="26B0B1CF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 В статье 3:</w:t>
      </w:r>
    </w:p>
    <w:p w14:paraId="63A2230C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дополнить часть первую предложением в следующей редакции:</w:t>
      </w:r>
    </w:p>
    <w:p w14:paraId="5E275CD2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"В странах ¬ участницах Европейского Союза, странах Европейской экономической зоны и государствах, с которыми действует договор о сотрудничестве в сфере социальной безопасности, проживающим лицам право на пенсию устанавливается с соблюдением Регулы Европейского Парламента и Совета от 29 апреля 2004 года (ЕК) № </w:t>
      </w:r>
      <w:hyperlink r:id="rId4" w:tgtFrame="_blank" w:history="1">
        <w:r>
          <w:rPr>
            <w:rFonts w:ascii="Arial" w:eastAsia="Times New Roman" w:hAnsi="Arial" w:cs="Arial"/>
            <w:sz w:val="20"/>
            <w:szCs w:val="20"/>
          </w:rPr>
          <w:t>883/2004</w:t>
        </w:r>
      </w:hyperlink>
      <w:r>
        <w:rPr>
          <w:rFonts w:ascii="Arial" w:eastAsia="Times New Roman" w:hAnsi="Arial" w:cs="Arial"/>
          <w:sz w:val="20"/>
          <w:szCs w:val="20"/>
        </w:rPr>
        <w:t xml:space="preserve"> о координации систем социального обеспечения (в дальнейшем - Регула № </w:t>
      </w:r>
      <w:hyperlink r:id="rId5" w:tgtFrame="_blank" w:history="1">
        <w:r>
          <w:rPr>
            <w:rFonts w:ascii="Arial" w:eastAsia="Times New Roman" w:hAnsi="Arial" w:cs="Arial"/>
            <w:sz w:val="20"/>
            <w:szCs w:val="20"/>
          </w:rPr>
          <w:t>883/2004</w:t>
        </w:r>
      </w:hyperlink>
      <w:r>
        <w:rPr>
          <w:rFonts w:ascii="Arial" w:eastAsia="Times New Roman" w:hAnsi="Arial" w:cs="Arial"/>
          <w:sz w:val="20"/>
          <w:szCs w:val="20"/>
        </w:rPr>
        <w:t>) или утвержденных Сеймом международных договоров";</w:t>
      </w:r>
    </w:p>
    <w:p w14:paraId="2720DFD9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дополнить статью частью четвертой в следующей редакции:</w:t>
      </w:r>
    </w:p>
    <w:p w14:paraId="33384F77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"(4) Лицо, постоянно проживающее за пределами территории Латвии и не имеющее права на пенсию в соответствии с установленным частью первой настоящей статьи, согласно условиям настоящего Закона имеет право на пенсию по старости и по случаю потери кормильца, если согласно настоящему Закону накоплен необходимый для назначения пенсии страховой стаж".</w:t>
      </w:r>
    </w:p>
    <w:p w14:paraId="124D5496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Дополнить часть шестую статьи 11 после слов “лиц” словами и цифрами “за исключением упомянутых в части четвертой статьи 3 настоящего закона лиц”.</w:t>
      </w:r>
    </w:p>
    <w:p w14:paraId="3BB2B57D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Дополнить статью 12 пунктом 2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часть в следующей редакции:</w:t>
      </w:r>
    </w:p>
    <w:p w14:paraId="51E962B0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"(2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sz w:val="20"/>
          <w:szCs w:val="20"/>
        </w:rPr>
        <w:t>) При назначении лицу пенсии по старости в упомянутом в части четвертой статьи 3 настоящего закона случае не применяются установленные частью второй настоящей статьи минимальные размеры".</w:t>
      </w:r>
    </w:p>
    <w:p w14:paraId="017BD175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Дополнить вводную часть части девятой статьи 23 после слов “каждому ребенку” словами и цифрами “за исключением случая, когда пенсия по случаю потери кормильца назначена согласно части четвертой статьи 3 настоящего Закона”.</w:t>
      </w:r>
    </w:p>
    <w:p w14:paraId="061F2EFA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Заменить 26.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Заменить</w:t>
      </w:r>
      <w:r>
        <w:rPr>
          <w:rFonts w:ascii="Arial" w:eastAsia="Times New Roman" w:hAnsi="Arial" w:cs="Arial"/>
          <w:sz w:val="20"/>
          <w:szCs w:val="20"/>
        </w:rPr>
        <w:t xml:space="preserve"> в части второй статьи слова и цифры "Регулой Европейского Парламента и Совета от 29 апреля 2004 года (ЕК) № </w:t>
      </w:r>
      <w:hyperlink r:id="rId6" w:tgtFrame="_blank" w:history="1">
        <w:r>
          <w:rPr>
            <w:rFonts w:ascii="Arial" w:eastAsia="Times New Roman" w:hAnsi="Arial" w:cs="Arial"/>
            <w:sz w:val="20"/>
            <w:szCs w:val="20"/>
          </w:rPr>
          <w:t>883/2004</w:t>
        </w:r>
      </w:hyperlink>
      <w:r>
        <w:rPr>
          <w:rFonts w:ascii="Arial" w:eastAsia="Times New Roman" w:hAnsi="Arial" w:cs="Arial"/>
          <w:sz w:val="20"/>
          <w:szCs w:val="20"/>
        </w:rPr>
        <w:t xml:space="preserve"> о координации систем социального обеспечения (в дальнейшем Регула № </w:t>
      </w:r>
      <w:hyperlink r:id="rId7" w:tgtFrame="_blank" w:history="1">
        <w:r>
          <w:rPr>
            <w:rFonts w:ascii="Arial" w:eastAsia="Times New Roman" w:hAnsi="Arial" w:cs="Arial"/>
            <w:sz w:val="20"/>
            <w:szCs w:val="20"/>
          </w:rPr>
          <w:t>883/2004</w:t>
        </w:r>
      </w:hyperlink>
      <w:r>
        <w:rPr>
          <w:rFonts w:ascii="Arial" w:eastAsia="Times New Roman" w:hAnsi="Arial" w:cs="Arial"/>
          <w:sz w:val="20"/>
          <w:szCs w:val="20"/>
        </w:rPr>
        <w:t xml:space="preserve">)" словами и цифрами “Регулой № </w:t>
      </w:r>
      <w:hyperlink r:id="rId8" w:tgtFrame="_blank" w:history="1">
        <w:r>
          <w:rPr>
            <w:rFonts w:ascii="Arial" w:eastAsia="Times New Roman" w:hAnsi="Arial" w:cs="Arial"/>
            <w:sz w:val="20"/>
            <w:szCs w:val="20"/>
          </w:rPr>
          <w:t>883/2004</w:t>
        </w:r>
      </w:hyperlink>
      <w:r>
        <w:rPr>
          <w:rFonts w:ascii="Arial" w:eastAsia="Times New Roman" w:hAnsi="Arial" w:cs="Arial"/>
          <w:sz w:val="20"/>
          <w:szCs w:val="20"/>
        </w:rPr>
        <w:t>”.</w:t>
      </w:r>
    </w:p>
    <w:p w14:paraId="7559EC82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6. Дополнить второе предложение части двенадцатой статьи 32 после слов “на общественных работах” словами и цифрами “или выезжает на постоянное жительство в </w:t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иностранные государства, если Регулой № </w:t>
      </w:r>
      <w:hyperlink r:id="rId9" w:tgtFrame="_blank" w:history="1">
        <w:r>
          <w:rPr>
            <w:rFonts w:ascii="Arial" w:eastAsia="Times New Roman" w:hAnsi="Arial" w:cs="Arial"/>
            <w:sz w:val="20"/>
            <w:szCs w:val="20"/>
          </w:rPr>
          <w:t>883/2004</w:t>
        </w:r>
      </w:hyperlink>
      <w:r>
        <w:rPr>
          <w:rFonts w:ascii="Arial" w:eastAsia="Times New Roman" w:hAnsi="Arial" w:cs="Arial"/>
          <w:sz w:val="20"/>
          <w:szCs w:val="20"/>
        </w:rPr>
        <w:t xml:space="preserve"> или утвержденными Сеймом международными договорами не установлено иное”.</w:t>
      </w:r>
    </w:p>
    <w:p w14:paraId="15D32BB3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7. В статье 38:</w:t>
      </w:r>
    </w:p>
    <w:p w14:paraId="61403EFA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изложить наименование статьи в следующей редакции:</w:t>
      </w:r>
    </w:p>
    <w:p w14:paraId="78BCEB90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</w:t>
      </w:r>
      <w:r>
        <w:rPr>
          <w:rFonts w:ascii="Arial" w:eastAsia="Times New Roman" w:hAnsi="Arial" w:cs="Arial"/>
          <w:b/>
          <w:bCs/>
          <w:sz w:val="20"/>
          <w:szCs w:val="20"/>
        </w:rPr>
        <w:t>Статья 38. Перерасчет пенсии и выплата лиц, выезжающих в иностранные государства или возвращающихся из них</w:t>
      </w:r>
      <w:r>
        <w:rPr>
          <w:rFonts w:ascii="Arial" w:eastAsia="Times New Roman" w:hAnsi="Arial" w:cs="Arial"/>
          <w:sz w:val="20"/>
          <w:szCs w:val="20"/>
        </w:rPr>
        <w:t>";</w:t>
      </w:r>
    </w:p>
    <w:p w14:paraId="02A5DEFD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считать прежний текст статьи частью первой;</w:t>
      </w:r>
    </w:p>
    <w:p w14:paraId="30684423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дополнить статью частями второй, третьей и четвертой в следующей редакции:</w:t>
      </w:r>
    </w:p>
    <w:p w14:paraId="2B0ABD59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"(2) Лицам, выезжающим на постоянное жительство в иностранное государство, не являющееся страной ¬ участницей Европейского Союза, государством Европейской экономической зоны или государством, с которым действует договор о сотрудничестве в сфере социальной безопасности, перерасчет пенсии по случаю потери кормильца и кормильца производится в дальнейшем при выплате исчисленного (перерассчитанного) размера пенсии без части государственного основного бюджета, если таковая ранее была назначена.</w:t>
      </w:r>
    </w:p>
    <w:p w14:paraId="560EC683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(3) Лица, пока они постоянно проживают в иностранном государстве, не являющемся страной ¬ участницей Европейского Союза, государством Европейской экономической зоны или государством, с которым действует договор о сотрудничестве в сфере социальной безопасности, выплачиваются без применения установленного частью второй статьи 12, пунктом 2 части первой, частями второй и третьей статьи 16 и частью девятой статьи 23 настоящего закона.</w:t>
      </w:r>
    </w:p>
    <w:p w14:paraId="0FE27EDD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(4) Лица, которые возвращаются на постоянное жительство в Латвию или в другой стране ¬ участнице Европейского Союза или стране Европейской экономической зоны, или в государстве, с которым действует договор о сотрудничестве в сфере социальной безопасности, размер пенсии не должен составлять менее минимального размера пенсии, установленного на день подачи заявления о смене места жительства в части второй статьи 12, пункте 2 части первой, частях второй и третьей статьи 12 и части девятой статьи 23 настоящего Закона, если Регулой № </w:t>
      </w:r>
      <w:hyperlink r:id="rId10" w:tgtFrame="_blank" w:history="1">
        <w:r>
          <w:rPr>
            <w:rFonts w:ascii="Arial" w:eastAsia="Times New Roman" w:hAnsi="Arial" w:cs="Arial"/>
            <w:sz w:val="20"/>
            <w:szCs w:val="20"/>
          </w:rPr>
          <w:t>883/2004</w:t>
        </w:r>
      </w:hyperlink>
      <w:r>
        <w:rPr>
          <w:rFonts w:ascii="Arial" w:eastAsia="Times New Roman" w:hAnsi="Arial" w:cs="Arial"/>
          <w:sz w:val="20"/>
          <w:szCs w:val="20"/>
        </w:rPr>
        <w:t xml:space="preserve"> или утвержденными Сеймом международными договорами не установлено иное. При установлении минимального размера пенсии по старости учитывается страховой стаж, накопленный согласно настоящему Закону ".</w:t>
      </w:r>
    </w:p>
    <w:p w14:paraId="7F298DA4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8. Дополнить Переходные положения пунктами 81, 82 и 83 в следующей редакции:</w:t>
      </w:r>
    </w:p>
    <w:p w14:paraId="782BD6F8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"81. Затребования пенсии, поданные на основании части четвертой статьи 3 настоящего Закона, рассматриваются начиная с 1 ноября 2023 года. Лица, которые до дня вступления в силу части четвертой статьи 3 настоящего Закона выехали на жительство в иностранное государство, не являющееся страной ¬ участницей Европейского Союза, страной Европейской экономической зоны или государством, с которым действует договор о сотрудничестве в сфере социальной безопасности, и </w:t>
      </w:r>
      <w:r>
        <w:rPr>
          <w:rFonts w:ascii="Arial" w:eastAsia="Times New Roman" w:hAnsi="Arial" w:cs="Arial"/>
          <w:sz w:val="20"/>
          <w:szCs w:val="20"/>
        </w:rPr>
        <w:lastRenderedPageBreak/>
        <w:t>начали защиту своих ущемленных прав с общими средствами защиты прав по той причине, что им отказано в предоставлении пенсии по старости или по случаю потери кормильца, так как они не проживают на территории Латвии, предоставляют и выплачивают пенсию по старости или по случаю потери кормильца со дня представления затребования пенсии и необходимых для ее назначения документов.</w:t>
      </w:r>
    </w:p>
    <w:p w14:paraId="44E2D4D1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82. Изменение в части шестой статьи 11, части девятой статьи 23, части 12 статьи 32 настоящего Закона о выплате пенсии лицу, постоянно проживающему за пределами Латвии, а также изменение об изложении наименования статьи 38 в новой редакции, 2 статьи 12 Закона. Часть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вторая</w:t>
      </w:r>
      <w:r>
        <w:rPr>
          <w:rFonts w:ascii="Arial" w:eastAsia="Times New Roman" w:hAnsi="Arial" w:cs="Arial"/>
          <w:sz w:val="20"/>
          <w:szCs w:val="20"/>
        </w:rPr>
        <w:t>, часть вторая, третья, четвертая статьи 38 и пункт 83 Переходных положений вступают в силу 1 ноября 2023 года.</w:t>
      </w:r>
    </w:p>
    <w:p w14:paraId="4D0B1EFB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83. Лицам, которые до 31 октября 2023 года выехали на жительство в иностранное государство, не являющееся страной ¬ участницей Европейского Союза, государство Европейской экономической зоны или государство, с которым действует договор о сотрудничестве в сфере социальной безопасности, сохраняет размер предоставленной (перерассчитанной) пенсии, включая установленную на 31 октября 2023 года часть государственного основного бюджета, если таковая ранее была предоставлена, и в дальнейшем не применяется установленное частью второй статьи 12, пунктом 2 части первой, частями второй и третьей статьи 16 и частью девятой статьи 23 настоящего закона ".</w:t>
      </w:r>
    </w:p>
    <w:p w14:paraId="3EB060D8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Закон вступает в силу на следующий день после его обнародования.</w:t>
      </w:r>
    </w:p>
    <w:p w14:paraId="0F801A42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Закон принят Сеймом 15 июня 2023 года.</w:t>
      </w:r>
    </w:p>
    <w:p w14:paraId="407C1D02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Президент Латвии </w:t>
      </w:r>
      <w:r>
        <w:rPr>
          <w:rFonts w:ascii="Arial" w:eastAsia="Times New Roman" w:hAnsi="Arial" w:cs="Arial"/>
          <w:i/>
          <w:iCs/>
          <w:sz w:val="20"/>
          <w:szCs w:val="20"/>
        </w:rPr>
        <w:t>Э. Левитс</w:t>
      </w:r>
    </w:p>
    <w:p w14:paraId="7471B70E" w14:textId="77777777" w:rsidR="00437472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Рига, 16 июня 2023 года</w:t>
      </w:r>
    </w:p>
    <w:p w14:paraId="4BA84990" w14:textId="77777777" w:rsidR="00437472" w:rsidRDefault="00437472"/>
    <w:sectPr w:rsidR="00437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3"/>
    <w:rsid w:val="003E56D2"/>
    <w:rsid w:val="00437472"/>
    <w:rsid w:val="006B2A13"/>
    <w:rsid w:val="00847FCD"/>
    <w:rsid w:val="00EB02AF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30FF0"/>
  <w15:chartTrackingRefBased/>
  <w15:docId w15:val="{981FA3CD-0C3F-49D1-B662-E61B084E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2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2A1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c">
    <w:name w:val="lik_c"/>
    <w:basedOn w:val="Normal"/>
    <w:rsid w:val="006B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B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B2A13"/>
    <w:rPr>
      <w:color w:val="0000FF"/>
      <w:u w:val="single"/>
    </w:rPr>
  </w:style>
  <w:style w:type="paragraph" w:customStyle="1" w:styleId="likparaksts">
    <w:name w:val="lik_paraksts"/>
    <w:basedOn w:val="Normal"/>
    <w:rsid w:val="006B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4/883/oj/?locale=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eli/reg/2004/883/oj/?locale=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eli/reg/2004/883/oj/?locale=L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ur-lex.europa.eu/eli/reg/2004/883/oj/?locale=LV" TargetMode="External"/><Relationship Id="rId10" Type="http://schemas.openxmlformats.org/officeDocument/2006/relationships/hyperlink" Target="http://eur-lex.europa.eu/eli/reg/2004/883/oj/?locale=LV" TargetMode="External"/><Relationship Id="rId4" Type="http://schemas.openxmlformats.org/officeDocument/2006/relationships/hyperlink" Target="http://eur-lex.europa.eu/eli/reg/2004/883/oj/?locale=LV" TargetMode="External"/><Relationship Id="rId9" Type="http://schemas.openxmlformats.org/officeDocument/2006/relationships/hyperlink" Target="http://eur-lex.europa.eu/eli/reg/2004/883/oj/?locale=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4410</Words>
  <Characters>2515</Characters>
  <Application>Microsoft Office Word</Application>
  <DocSecurity>0</DocSecurity>
  <Lines>20</Lines>
  <Paragraphs>13</Paragraphs>
  <ScaleCrop>false</ScaleCrop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2</cp:revision>
  <dcterms:created xsi:type="dcterms:W3CDTF">2023-06-30T11:15:00Z</dcterms:created>
  <dcterms:modified xsi:type="dcterms:W3CDTF">2023-06-30T11:15:00Z</dcterms:modified>
</cp:coreProperties>
</file>