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E75A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обнародует следующий закон:</w:t>
      </w:r>
    </w:p>
    <w:p w14:paraId="65482A28" w14:textId="77777777" w:rsidR="006C564A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Законе о налоге на добавленную стоимость</w:t>
      </w:r>
    </w:p>
    <w:p w14:paraId="1C861ECB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Закон о налоге на добавленную стоимость (Латвияс Вестнесис, 2012, № 197; 2013, № 27, 194, 232, 237; 2014, № 123; 2015, № 42, 248, 251; 2016, № 120, 241; 2017, № 90, 156, 242; 2019, № 118, 132, 248. А; 2020, 204, 240. А; 2021, 5. А, 234. А, № 246; 2022, 36. А) следующие изменения:</w:t>
      </w:r>
    </w:p>
    <w:p w14:paraId="6058188D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в статье 2:</w:t>
      </w:r>
    </w:p>
    <w:p w14:paraId="2EB2CC04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дополнить статью частью второй в следующей редакции:</w:t>
      </w:r>
    </w:p>
    <w:p w14:paraId="1C49736C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«(2) Закон устанавливает для оказывающего платежные услуги лица обязанность вести учет, хранить и предоставлять Службе государственных доходов информацию о получателях платежей и заграничных платежах для предотвращения уклонения от уплаты налога при трансграничных сделках.»;</w:t>
      </w:r>
    </w:p>
    <w:p w14:paraId="48DDB207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считать прежний текст статьи частью первой.</w:t>
      </w:r>
    </w:p>
    <w:p w14:paraId="7C038E6E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13. в статье 1:</w:t>
      </w:r>
    </w:p>
    <w:p w14:paraId="2F7C14A3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дополнить часть вторую пунктом 4 в следующей редакции:</w:t>
      </w:r>
    </w:p>
    <w:p w14:paraId="463082A9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"4) общая стоимость упомянутых в пункте 2 настоящей части поставленных товаров и упомянутых в пункте 2 части третьей статьи 27 настоящего закона услуг без налога в предыдущем или текущем календарном году не превышает 10000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, если упомянутый в пункте 1 настоящей части поставщик товаров осуществляет дистанционную продажу товаров на территории Европейского Союза и оказывает услуги электронной связи, вещания и оказанные в электронной форме услуги.";</w:t>
      </w:r>
    </w:p>
    <w:p w14:paraId="4E11783E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заменить в части третьей слова и цифры «упомянутого в пункте 3 настоящего Закона» словами и цифрами «упомянутого в пункте 3 или 4 настоящего закона».</w:t>
      </w:r>
    </w:p>
    <w:p w14:paraId="0F3EBD1D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в статье 27:</w:t>
      </w:r>
    </w:p>
    <w:p w14:paraId="74E9CC29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дополнить часть третью пунктом 4 в следующей редакции:</w:t>
      </w:r>
    </w:p>
    <w:p w14:paraId="484A3DCD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"4) упомянутую в пункте 2 настоящей части оказанную услугу и 13 настоящего Закона. общая стоимость упомянутых в пункте 2 части второй статьи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поставленных товаров без налога в предыдущем или текущем календарном году не превышает 10000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, если упомянутое в пункте 1 настоящей части оказывающее услуги лицо оказывает услуги электронной связи, вещания и оказанные в электронной форме услуги и осуществляет дистанционную продажу товаров на территории Европейского Союза";</w:t>
      </w:r>
    </w:p>
    <w:p w14:paraId="6331B384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заменить в части четвертой слова и цифры «упомянутого в пункте 3 настоящего Закона» словами и цифрами «упомянутого в пункте 3 или 4 настоящего закона».</w:t>
      </w:r>
    </w:p>
    <w:p w14:paraId="04C0CB30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в статье 60:</w:t>
      </w:r>
    </w:p>
    <w:p w14:paraId="733FAA0E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дополнить части вторую и третью после слов «в сделках по дистанционной продаже товаров» словами «на территории Европейского Союза»;</w:t>
      </w:r>
    </w:p>
    <w:p w14:paraId="6C6BCF13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дополнить статью частями пятой, шестой и седьмой в следующей редакции:</w:t>
      </w:r>
    </w:p>
    <w:p w14:paraId="7EF3ECA2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"(5) Если плательщик налога другой страны-участницы оказывает на внутренней территории услуги электронной связи, вещания и оказанные в электронной форме услуги лицам, не являющимся плательщиками налога, то этот плательщик налога другой страны-участницы регистрируется в регистре плательщиков налога на добавленную стоимость Службы государственных доходов в течение 30 дней с момента оказания услуг электронной связи, вещания и оказанных в электронной форме лицам, не являющимся плательщиками налога и зарегистрированным в любой стране-участнице, не являющееся местом проживания или местом постоянного учреждения хозяйственной деятельности исполнителя услуг, или имеющее в нем декларированное место жительства или постоянное место пребывания, общая стоимость в предыдущем или текущем календарном году достигла или превысила 10000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14:paraId="6EC9EFDF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(6) Если плательщик налога другой страны-участницы оказывает на внутренней территории услуги электронной связи, вещания и оказанные в электронной форме услуги лицам, не являющимся плательщиками налога, то этот плательщик налога другой страны-участницы имеет право зарегистрироваться в регистре плательщиков налога на добавленную стоимость Службы государственных доходов также до достижения упомянутого в части пятой настоящей статьи регистрационного порога.</w:t>
      </w:r>
    </w:p>
    <w:p w14:paraId="540422F0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(7) Если плательщик налога другой страны-участницы на внутренней территории осуществляет дистанционную продажу товаров на территории Европейского союза и оказывает услуги электронной связи, вещания и оказанные электронным способом лицам, не являющимся плательщиками налога, то этот плательщик налога другой страны-участницы регистрируется в регистре плательщиков налога на добавленную стоимость Службы государственных доходов в 30-дневный срок с момента оказания поставленных товаров и электронной связи, вещания и оказанных в электронной форме услуг, оказанных лицам, которые не являются плательщиками налога и которые зарегистрированы в любой стране-участнице, которая не является местом проживания хозяйственной деятельности или местом постоянного учреждения оказывающего услуги лица, или у которых в ней находится декларированное местожительство или постоянное местожительство, общая стоимость в предыдущем или текущем календарном году достигла или превысила 10000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".</w:t>
      </w:r>
    </w:p>
    <w:p w14:paraId="3DBD44CD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5. Дополнить Закон главой XIX в следующей редакции:</w:t>
      </w:r>
    </w:p>
    <w:p w14:paraId="210550BB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"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Глава XIX обязанности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br/>
        <w:t xml:space="preserve"> оказывающих платежные услуги лиц и другие правила в сфере обмена информацией о получателях платежей и заграничных платежах</w:t>
      </w:r>
    </w:p>
    <w:p w14:paraId="63F6CAC2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статья 147. Обязанность ведения учета, хранения и представления информации о получателях платежей и трансграничных платежах с целью предотвращения уклонения от уплаты налога при трансграничных сделках</w:t>
      </w:r>
    </w:p>
    <w:p w14:paraId="0DCD507E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(1) В понимании настоящей статьи:</w:t>
      </w:r>
    </w:p>
    <w:p w14:paraId="1895A75A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1) оказывающее платежные услуги лицо является оказывающим платежные услуги лицом, упомянутым в пункте 1, 2, 4, 7 или 8 части второй статьи 2 Закона о платежных услугах и электронных деньгах;</w:t>
      </w:r>
    </w:p>
    <w:p w14:paraId="4041D64D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2) платежной услугой является услуга, упомянутая в подпункте «в», «г», «д» или «е» пункта 1 статьи 1 Закона о платежных услугах и электронных деньгах;</w:t>
      </w:r>
    </w:p>
    <w:p w14:paraId="38C72110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3) плательщиком является физическое или юридическое лицо, упомянутое в пункте 5 статьи 1 Закона о платежных услугах и электронных деньгах;</w:t>
      </w:r>
    </w:p>
    <w:p w14:paraId="4A4C3B87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4) получателем платежа является физическое или юридическое лицо, упомянутое в пункте 6 статьи 1 Закона о платежных услугах и электронных деньгах;</w:t>
      </w:r>
    </w:p>
    <w:p w14:paraId="69948647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5) трансграничным платежом является платеж, упомянутый в пункте 3 или 9 статьи 1 Закона о платежных услугах и электронных деньгах с соблюдением установленных статьей 3 упомянутого Закона исключений, а также то, что плательщик находится в одной стране-участнице и получатель платежа находится в другой стране-участнице, третьем государстве или территории.</w:t>
      </w:r>
    </w:p>
    <w:p w14:paraId="01F042A4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(2) оказывающее платежные услуги лицо обязано:</w:t>
      </w:r>
    </w:p>
    <w:p w14:paraId="79392FD1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1) вести детализированный учет получателей платежей и заграничных платежей за каждый квартал календарного года в отношении тех оказанных в конкретном квартале одному и тому же получателю платежа платежных услуг, которые соответствуют более 25 заграничным платежам;</w:t>
      </w:r>
    </w:p>
    <w:p w14:paraId="21EC6582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2) предоставлять Службе государственных доходов установленную согласно настоящей статье информацию о получателях платежей и заграничных платежах;</w:t>
      </w:r>
    </w:p>
    <w:p w14:paraId="04FEEB18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3) хранить идентификационные данные получателей платежей и данные о заграничных платежах в электронном формате в течение трех календарных лет, начиная с конца того календарного года, в котором произведен платеж.</w:t>
      </w:r>
    </w:p>
    <w:p w14:paraId="428DBA68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(3) Если оказывающее платежные услуги лицо обеспечивает платежные услуги в вовлеченной стране-участнице, не являющейся Латвией, оно не обязано предоставлять Службе государственных доходов установленную согласно настоящей статье информацию о получателях платежей и заграничных платежах.</w:t>
      </w:r>
    </w:p>
    <w:p w14:paraId="5234F495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(4) Упомянутые в части второй настоящей статьи обязанности не распространяются на платежные услуги, в которых по меньшей мере один из оказывающих платежные услуги лиц получателя платежа находится в другой стране-участнице. Одновременно исполнитель платежных услуг плательщика включает такие платежные услуги в расчет количества трансграничных платежей.</w:t>
      </w:r>
    </w:p>
    <w:p w14:paraId="5497D8EF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(5) Кабинет министров устанавливает:</w:t>
      </w:r>
    </w:p>
    <w:p w14:paraId="606A3CBD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1) Представляемые в Службу государственных доходов идентификационные данные юридических и физических лиц и данные о заграничных платежах;</w:t>
      </w:r>
    </w:p>
    <w:p w14:paraId="66A8F86C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2) порядок исчисления оказывающим платежные услуги лицом количества заграничных платежей;</w:t>
      </w:r>
    </w:p>
    <w:p w14:paraId="7B4F384C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3) порядок получения, проверки и представления информации оказывающим платежные услуги лицом Службе государственных доходов;</w:t>
      </w:r>
    </w:p>
    <w:p w14:paraId="292FBF7C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4) порядок обработки Службой государственных доходов информации, предоставляемой в централизованной информационной системе электронных платежей.</w:t>
      </w:r>
    </w:p>
    <w:p w14:paraId="27D1C5E6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статья 148. Защита данных в сфере обмена информацией о получателях платежей и трансграничных платежах</w:t>
      </w:r>
    </w:p>
    <w:p w14:paraId="35A1D7D4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(1) Служба государственных доходов является заведующим данными, предоставляемыми централизованной информационной системе электронных платежей.</w:t>
      </w:r>
    </w:p>
    <w:p w14:paraId="1CE1C09A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(2) для обеспечения направления информации о получателях платежей и заграничных платежах в Централизованную информационную систему электронных платежей оказывающее платежные услуги лицо и Государственная служба доходов обрабатывают идентификационные данные физических лиц и данные о заграничных платежах ".</w:t>
      </w:r>
    </w:p>
    <w:p w14:paraId="1BA68C98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6. Дополнить информативную ссылку на директивы Европейского Союза пунктом 26 в следующей редакции:</w:t>
      </w:r>
    </w:p>
    <w:p w14:paraId="5F6C62FB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"26) Директивы Совета от 18 февраля 2020 года (ES) </w:t>
      </w:r>
      <w:hyperlink r:id="rId4" w:tgtFrame="_blank" w:history="1">
        <w:r>
          <w:rPr>
            <w:rFonts w:ascii="Arial" w:eastAsia="Times New Roman" w:hAnsi="Arial" w:cs="Arial"/>
            <w:color w:val="16497B"/>
            <w:sz w:val="20"/>
            <w:szCs w:val="20"/>
            <w:u w:val="single"/>
          </w:rPr>
          <w:t>2020/284</w:t>
        </w:r>
      </w:hyperlink>
      <w:r>
        <w:rPr>
          <w:rFonts w:ascii="Arial" w:eastAsia="Times New Roman" w:hAnsi="Arial" w:cs="Arial"/>
          <w:color w:val="414142"/>
          <w:sz w:val="20"/>
          <w:szCs w:val="20"/>
        </w:rPr>
        <w:t xml:space="preserve">, которой изменяется Директива </w:t>
      </w:r>
      <w:hyperlink r:id="rId5" w:tgtFrame="_blank" w:history="1">
        <w:r>
          <w:rPr>
            <w:rFonts w:ascii="Arial" w:eastAsia="Times New Roman" w:hAnsi="Arial" w:cs="Arial"/>
            <w:color w:val="16497B"/>
            <w:sz w:val="20"/>
            <w:szCs w:val="20"/>
            <w:u w:val="single"/>
          </w:rPr>
          <w:t>2006/112/ЕК</w:t>
        </w:r>
      </w:hyperlink>
      <w:r>
        <w:rPr>
          <w:rFonts w:ascii="Arial" w:eastAsia="Times New Roman" w:hAnsi="Arial" w:cs="Arial"/>
          <w:color w:val="414142"/>
          <w:sz w:val="20"/>
          <w:szCs w:val="20"/>
        </w:rPr>
        <w:t xml:space="preserve"> в отношении введения конкретных требований к оказывающим платежные услуги лицам."</w:t>
      </w:r>
    </w:p>
    <w:p w14:paraId="5C1E2720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вступает в силу 1 января 2024 года.</w:t>
      </w:r>
    </w:p>
    <w:p w14:paraId="0BCFDEB4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принят Сеймом 9 ноября 2023 года.</w:t>
      </w:r>
    </w:p>
    <w:p w14:paraId="409F5E55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Э. Ринкевичс</w:t>
      </w:r>
    </w:p>
    <w:p w14:paraId="3CF2AC89" w14:textId="77777777" w:rsidR="006C56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 Риге 22 ноября 2023 года</w:t>
      </w:r>
    </w:p>
    <w:p w14:paraId="346E9721" w14:textId="77777777" w:rsidR="006C564A" w:rsidRDefault="006C564A"/>
    <w:sectPr w:rsidR="006C5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30"/>
    <w:rsid w:val="000B1330"/>
    <w:rsid w:val="003E56D2"/>
    <w:rsid w:val="0064615D"/>
    <w:rsid w:val="006C564A"/>
    <w:rsid w:val="00847FCD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06CCA"/>
  <w15:chartTrackingRefBased/>
  <w15:docId w15:val="{B4729249-316F-4AE6-9E93-C0A8CA4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1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33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0B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B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1330"/>
    <w:rPr>
      <w:color w:val="0000FF"/>
      <w:u w:val="single"/>
    </w:rPr>
  </w:style>
  <w:style w:type="paragraph" w:customStyle="1" w:styleId="likparaksts">
    <w:name w:val="lik_paraksts"/>
    <w:basedOn w:val="Normal"/>
    <w:rsid w:val="000B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eli/dir/2006/112/oj/?locale=LV" TargetMode="External"/><Relationship Id="rId4" Type="http://schemas.openxmlformats.org/officeDocument/2006/relationships/hyperlink" Target="http://eur-lex.europa.eu/eli/dir/2020/284/oj/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5765</Words>
  <Characters>3287</Characters>
  <Application>Microsoft Office Word</Application>
  <DocSecurity>0</DocSecurity>
  <Lines>27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2023-11-24T09:42:00Z</dcterms:created>
  <dcterms:modified xsi:type="dcterms:W3CDTF">2023-11-24T09:42:00Z</dcterms:modified>
</cp:coreProperties>
</file>